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1" w:line="560" w:lineRule="exact"/>
        <w:ind w:left="0" w:right="641"/>
        <w:jc w:val="center"/>
        <w:textAlignment w:val="auto"/>
        <w:rPr>
          <w:rFonts w:hint="eastAsia" w:ascii="方正小标宋_GBK" w:hAnsi="方正小标宋_GBK" w:eastAsia="方正小标宋_GBK" w:cs="方正小标宋_GBK"/>
          <w:bCs/>
          <w:color w:val="auto"/>
          <w:kern w:val="2"/>
          <w:sz w:val="44"/>
          <w:szCs w:val="44"/>
          <w:lang w:val="en-US" w:eastAsia="zh-CN" w:bidi="ar"/>
        </w:rPr>
      </w:pPr>
      <w:r>
        <w:rPr>
          <w:rFonts w:hint="eastAsia" w:ascii="方正小标宋_GBK" w:hAnsi="方正小标宋_GBK" w:eastAsia="方正小标宋_GBK" w:cs="方正小标宋_GBK"/>
          <w:bCs/>
          <w:color w:val="auto"/>
          <w:kern w:val="2"/>
          <w:sz w:val="44"/>
          <w:szCs w:val="44"/>
          <w:lang w:val="en-US" w:eastAsia="zh-CN" w:bidi="ar"/>
        </w:rPr>
        <w:t>邵阳市应急管理局</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1" w:line="560" w:lineRule="exact"/>
        <w:ind w:left="0" w:right="641"/>
        <w:jc w:val="center"/>
        <w:textAlignment w:val="auto"/>
        <w:rPr>
          <w:rFonts w:hint="eastAsia" w:ascii="方正小标宋_GBK" w:hAnsi="方正小标宋_GBK" w:eastAsia="方正小标宋_GBK" w:cs="方正小标宋_GBK"/>
          <w:bCs/>
          <w:color w:val="auto"/>
          <w:kern w:val="2"/>
          <w:sz w:val="44"/>
          <w:szCs w:val="44"/>
          <w:lang w:val="en-US" w:eastAsia="zh-CN" w:bidi="ar"/>
        </w:rPr>
      </w:pPr>
      <w:r>
        <w:rPr>
          <w:rFonts w:hint="eastAsia" w:ascii="方正小标宋_GBK" w:hAnsi="方正小标宋_GBK" w:eastAsia="方正小标宋_GBK" w:cs="方正小标宋_GBK"/>
          <w:bCs/>
          <w:color w:val="auto"/>
          <w:kern w:val="2"/>
          <w:sz w:val="44"/>
          <w:szCs w:val="44"/>
          <w:lang w:val="en-US" w:eastAsia="zh-CN" w:bidi="ar"/>
        </w:rPr>
        <w:t>2022年度整体支出绩效评价报告</w:t>
      </w:r>
    </w:p>
    <w:p>
      <w:pPr>
        <w:pStyle w:val="2"/>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firstLine="640" w:firstLineChars="200"/>
        <w:jc w:val="left"/>
        <w:textAlignment w:val="auto"/>
        <w:rPr>
          <w:color w:val="auto"/>
        </w:rPr>
      </w:pPr>
      <w:r>
        <w:rPr>
          <w:rFonts w:ascii="黑体" w:hAnsi="宋体" w:eastAsia="黑体" w:cs="黑体"/>
          <w:bCs/>
          <w:color w:val="auto"/>
          <w:kern w:val="2"/>
          <w:sz w:val="32"/>
          <w:szCs w:val="32"/>
          <w:lang w:val="en-US" w:eastAsia="zh-CN" w:bidi="ar"/>
        </w:rPr>
        <w:t>一、</w:t>
      </w:r>
      <w:r>
        <w:rPr>
          <w:rFonts w:hint="eastAsia" w:ascii="黑体" w:hAnsi="宋体" w:eastAsia="黑体" w:cs="黑体"/>
          <w:bCs/>
          <w:color w:val="auto"/>
          <w:kern w:val="2"/>
          <w:sz w:val="32"/>
          <w:szCs w:val="32"/>
          <w:lang w:val="en-US" w:eastAsia="zh-CN" w:bidi="ar"/>
        </w:rPr>
        <w:t>部门概况</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ascii="楷体_GB2312" w:hAnsi="Calibri" w:eastAsia="楷体_GB2312" w:cs="楷体_GB2312"/>
          <w:b w:val="0"/>
          <w:bCs w:val="0"/>
          <w:color w:val="auto"/>
          <w:kern w:val="2"/>
          <w:sz w:val="32"/>
          <w:szCs w:val="32"/>
          <w:lang w:val="en-US" w:eastAsia="zh-CN" w:bidi="ar"/>
        </w:rPr>
      </w:pPr>
      <w:r>
        <w:rPr>
          <w:rFonts w:hint="eastAsia" w:ascii="楷体_GB2312" w:hAnsi="Calibri" w:eastAsia="楷体_GB2312" w:cs="楷体_GB2312"/>
          <w:b w:val="0"/>
          <w:bCs w:val="0"/>
          <w:color w:val="auto"/>
          <w:kern w:val="2"/>
          <w:sz w:val="32"/>
          <w:szCs w:val="32"/>
          <w:lang w:val="en-US" w:eastAsia="zh-CN" w:bidi="ar"/>
        </w:rPr>
        <w:t>（一）部门基本情况。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aps w:val="0"/>
          <w:color w:val="auto"/>
          <w:spacing w:val="0"/>
          <w:kern w:val="0"/>
          <w:sz w:val="32"/>
          <w:szCs w:val="32"/>
          <w:shd w:val="clear" w:fill="FFFFFF"/>
        </w:rPr>
        <w:t>根据中共湖南省委办公厅湖南省人民政府办公厅关于印发《邵阳市机构改革方案》的通知（湘办〔2018〕60号)文件精神，将市安全生产监督管理局的职责，市政府办公室的应急管理职责，市民政局的救灾职责，市国土资源局的地质灾害防治职责，市林业局的森林防火相关职责，市地震局的震灾应急救援职责，市水利局的水旱灾害防治相关职责，以及防汛抗旱、减灾、抗震救灾、防火等指挥部（委员会）的职责整合，组建市应急管理局，为市政府工作部门，对外加挂市防汛抗旱指挥部办公室牌子。不再保留市安全生产监督管理局。邵阳市应急管理局的主要职责是指导全市各地区各部门应对安全生产类、自然灾害类等突发事件和综合防灾减灾救灾工作。负责安全生产综合监督管理和工矿商贸行业（含煤矿）安全生产监督管理工作。</w:t>
      </w:r>
      <w:r>
        <w:rPr>
          <w:rFonts w:hint="eastAsia" w:ascii="仿宋_GB2312" w:hAnsi="仿宋_GB2312" w:eastAsia="仿宋_GB2312" w:cs="仿宋_GB2312"/>
          <w:bCs/>
          <w:caps w:val="0"/>
          <w:color w:val="auto"/>
          <w:spacing w:val="0"/>
          <w:kern w:val="0"/>
          <w:sz w:val="32"/>
          <w:szCs w:val="32"/>
          <w:shd w:val="clear" w:fill="FFFFFF"/>
          <w:lang w:eastAsia="zh-CN"/>
        </w:rPr>
        <w:t>截止至</w:t>
      </w:r>
      <w:r>
        <w:rPr>
          <w:rFonts w:hint="eastAsia" w:ascii="仿宋_GB2312" w:hAnsi="仿宋_GB2312" w:eastAsia="仿宋_GB2312" w:cs="仿宋_GB2312"/>
          <w:bCs/>
          <w:caps w:val="0"/>
          <w:color w:val="auto"/>
          <w:spacing w:val="0"/>
          <w:kern w:val="0"/>
          <w:sz w:val="32"/>
          <w:szCs w:val="32"/>
          <w:shd w:val="clear" w:fill="FFFFFF"/>
          <w:lang w:val="en-US" w:eastAsia="zh-CN"/>
        </w:rPr>
        <w:t>2022年底，</w:t>
      </w:r>
      <w:r>
        <w:rPr>
          <w:rFonts w:hint="eastAsia" w:ascii="仿宋_GB2312" w:hAnsi="仿宋_GB2312" w:eastAsia="仿宋_GB2312" w:cs="仿宋_GB2312"/>
          <w:bCs/>
          <w:caps w:val="0"/>
          <w:color w:val="auto"/>
          <w:spacing w:val="0"/>
          <w:kern w:val="0"/>
          <w:sz w:val="32"/>
          <w:szCs w:val="32"/>
          <w:shd w:val="clear" w:fill="FFFFFF"/>
        </w:rPr>
        <w:t>局机关在职干部职工</w:t>
      </w:r>
      <w:r>
        <w:rPr>
          <w:rFonts w:hint="eastAsia" w:ascii="仿宋_GB2312" w:hAnsi="仿宋_GB2312" w:eastAsia="仿宋_GB2312" w:cs="仿宋_GB2312"/>
          <w:bCs/>
          <w:caps w:val="0"/>
          <w:color w:val="auto"/>
          <w:spacing w:val="0"/>
          <w:kern w:val="0"/>
          <w:sz w:val="32"/>
          <w:szCs w:val="32"/>
          <w:shd w:val="clear" w:fill="FFFFFF"/>
          <w:lang w:val="en-US" w:eastAsia="zh-CN"/>
        </w:rPr>
        <w:t>77</w:t>
      </w:r>
      <w:r>
        <w:rPr>
          <w:rFonts w:hint="eastAsia" w:ascii="仿宋_GB2312" w:hAnsi="仿宋_GB2312" w:eastAsia="仿宋_GB2312" w:cs="仿宋_GB2312"/>
          <w:bCs/>
          <w:caps w:val="0"/>
          <w:color w:val="auto"/>
          <w:spacing w:val="0"/>
          <w:kern w:val="0"/>
          <w:sz w:val="32"/>
          <w:szCs w:val="32"/>
          <w:shd w:val="clear" w:fill="FFFFFF"/>
        </w:rPr>
        <w:t>人，内设办公室、政工科等1</w:t>
      </w:r>
      <w:r>
        <w:rPr>
          <w:rFonts w:hint="eastAsia" w:ascii="仿宋_GB2312" w:hAnsi="仿宋_GB2312" w:eastAsia="仿宋_GB2312" w:cs="仿宋_GB2312"/>
          <w:bCs/>
          <w:caps w:val="0"/>
          <w:color w:val="auto"/>
          <w:spacing w:val="0"/>
          <w:kern w:val="0"/>
          <w:sz w:val="32"/>
          <w:szCs w:val="32"/>
          <w:shd w:val="clear" w:fill="FFFFFF"/>
          <w:lang w:val="en-US" w:eastAsia="zh-CN"/>
        </w:rPr>
        <w:t>6</w:t>
      </w:r>
      <w:r>
        <w:rPr>
          <w:rFonts w:hint="eastAsia" w:ascii="仿宋_GB2312" w:hAnsi="仿宋_GB2312" w:eastAsia="仿宋_GB2312" w:cs="仿宋_GB2312"/>
          <w:bCs/>
          <w:caps w:val="0"/>
          <w:color w:val="auto"/>
          <w:spacing w:val="0"/>
          <w:kern w:val="0"/>
          <w:sz w:val="32"/>
          <w:szCs w:val="32"/>
          <w:shd w:val="clear" w:fill="FFFFFF"/>
        </w:rPr>
        <w:t>个科室。另所属二级机构为邵阳市地震局和全额拨款的副处级事业单位邵阳</w:t>
      </w:r>
      <w:r>
        <w:rPr>
          <w:rFonts w:hint="eastAsia" w:ascii="仿宋_GB2312" w:hAnsi="仿宋_GB2312" w:eastAsia="仿宋_GB2312" w:cs="仿宋_GB2312"/>
          <w:bCs/>
          <w:caps w:val="0"/>
          <w:color w:val="auto"/>
          <w:spacing w:val="0"/>
          <w:kern w:val="0"/>
          <w:sz w:val="32"/>
          <w:szCs w:val="32"/>
          <w:shd w:val="clear" w:fill="FFFFFF"/>
          <w:lang w:eastAsia="zh-CN"/>
        </w:rPr>
        <w:t>市安全生产执法支队</w:t>
      </w:r>
      <w:r>
        <w:rPr>
          <w:rFonts w:hint="eastAsia" w:ascii="仿宋_GB2312" w:hAnsi="仿宋_GB2312" w:eastAsia="仿宋_GB2312" w:cs="仿宋_GB2312"/>
          <w:bCs/>
          <w:caps w:val="0"/>
          <w:color w:val="auto"/>
          <w:spacing w:val="0"/>
          <w:kern w:val="0"/>
          <w:sz w:val="32"/>
          <w:szCs w:val="32"/>
          <w:shd w:val="clear" w:fill="FFFFFF"/>
        </w:rPr>
        <w:t>、邵阳市矿山救护支队、</w:t>
      </w:r>
      <w:r>
        <w:rPr>
          <w:rFonts w:hint="eastAsia" w:ascii="仿宋_GB2312" w:hAnsi="仿宋_GB2312" w:eastAsia="仿宋_GB2312" w:cs="仿宋_GB2312"/>
          <w:bCs/>
          <w:caps w:val="0"/>
          <w:color w:val="auto"/>
          <w:spacing w:val="0"/>
          <w:kern w:val="0"/>
          <w:sz w:val="32"/>
          <w:szCs w:val="32"/>
          <w:shd w:val="clear" w:fill="FFFFFF"/>
          <w:lang w:eastAsia="zh-CN"/>
        </w:rPr>
        <w:t>邵阳</w:t>
      </w:r>
      <w:r>
        <w:rPr>
          <w:rFonts w:hint="eastAsia" w:ascii="仿宋_GB2312" w:hAnsi="仿宋_GB2312" w:eastAsia="仿宋_GB2312" w:cs="仿宋_GB2312"/>
          <w:bCs/>
          <w:caps w:val="0"/>
          <w:color w:val="auto"/>
          <w:spacing w:val="0"/>
          <w:kern w:val="0"/>
          <w:sz w:val="32"/>
          <w:szCs w:val="32"/>
          <w:shd w:val="clear" w:fill="FFFFFF"/>
        </w:rPr>
        <w:t>市应急救援事务中心。</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楷体_GB2312" w:hAnsi="Calibri" w:eastAsia="楷体_GB2312" w:cs="楷体_GB2312"/>
          <w:b w:val="0"/>
          <w:bCs w:val="0"/>
          <w:color w:val="auto"/>
          <w:kern w:val="2"/>
          <w:sz w:val="32"/>
          <w:szCs w:val="32"/>
          <w:lang w:val="en-US" w:eastAsia="zh-CN" w:bidi="ar"/>
        </w:rPr>
      </w:pPr>
      <w:r>
        <w:rPr>
          <w:rFonts w:hint="eastAsia" w:ascii="楷体_GB2312" w:hAnsi="Calibri" w:eastAsia="楷体_GB2312" w:cs="楷体_GB2312"/>
          <w:b w:val="0"/>
          <w:bCs w:val="0"/>
          <w:color w:val="auto"/>
          <w:kern w:val="2"/>
          <w:sz w:val="32"/>
          <w:szCs w:val="32"/>
          <w:lang w:val="en-US" w:eastAsia="zh-CN" w:bidi="ar"/>
        </w:rPr>
        <w:t>（二）部门整体支出规模、使用方向和主要内容、涉及范围等。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spacing w:before="0" w:beforeAutospacing="0" w:after="0" w:afterAutospacing="0" w:line="56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aps w:val="0"/>
          <w:color w:val="auto"/>
          <w:spacing w:val="0"/>
          <w:kern w:val="0"/>
          <w:sz w:val="32"/>
          <w:szCs w:val="32"/>
          <w:shd w:val="clear" w:fill="FFFFFF"/>
        </w:rPr>
        <w:t>我局部门整体支出使用内容及范围为人员工资、公用支出和专项支出，包括“打非治违”、“隐患排查”、“安全生产大整治大管控大排查”专项整治行动和应急救援、防汛抗旱、森林防火等方面的工作。</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color w:val="auto"/>
        </w:rPr>
      </w:pPr>
      <w:r>
        <w:rPr>
          <w:rFonts w:hint="eastAsia" w:ascii="黑体" w:hAnsi="宋体" w:eastAsia="黑体" w:cs="黑体"/>
          <w:bCs/>
          <w:color w:val="auto"/>
          <w:kern w:val="2"/>
          <w:sz w:val="32"/>
          <w:szCs w:val="32"/>
          <w:lang w:val="en-US" w:eastAsia="zh-CN" w:bidi="ar"/>
        </w:rPr>
        <w:t>二、部门整体支出管理及使用情况</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b w:val="0"/>
          <w:bCs w:val="0"/>
          <w:color w:val="auto"/>
        </w:rPr>
      </w:pPr>
      <w:r>
        <w:rPr>
          <w:rFonts w:ascii="楷体_GB2312" w:hAnsi="Calibri" w:eastAsia="楷体_GB2312" w:cs="楷体_GB2312"/>
          <w:b w:val="0"/>
          <w:bCs w:val="0"/>
          <w:color w:val="auto"/>
          <w:kern w:val="2"/>
          <w:sz w:val="32"/>
          <w:szCs w:val="32"/>
          <w:lang w:val="en-US" w:eastAsia="zh-CN" w:bidi="ar"/>
        </w:rPr>
        <w:t>（一）预算执行情况</w:t>
      </w:r>
      <w:r>
        <w:rPr>
          <w:rFonts w:hint="eastAsia" w:ascii="楷体_GB2312" w:hAnsi="Calibri" w:eastAsia="楷体_GB2312" w:cs="楷体_GB2312"/>
          <w:b w:val="0"/>
          <w:bCs w:val="0"/>
          <w:color w:val="auto"/>
          <w:kern w:val="2"/>
          <w:sz w:val="32"/>
          <w:szCs w:val="32"/>
          <w:lang w:val="en-US" w:eastAsia="zh-CN" w:bidi="ar"/>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aps w:val="0"/>
          <w:color w:val="auto"/>
          <w:spacing w:val="0"/>
          <w:kern w:val="0"/>
          <w:sz w:val="32"/>
          <w:szCs w:val="32"/>
          <w:shd w:val="clear" w:fill="FFFFFF"/>
          <w:lang w:val="en"/>
        </w:rPr>
        <w:t>202</w:t>
      </w:r>
      <w:r>
        <w:rPr>
          <w:rFonts w:hint="eastAsia" w:ascii="仿宋_GB2312" w:hAnsi="仿宋_GB2312" w:eastAsia="仿宋_GB2312" w:cs="仿宋_GB2312"/>
          <w:bCs/>
          <w:caps w:val="0"/>
          <w:color w:val="auto"/>
          <w:spacing w:val="0"/>
          <w:kern w:val="0"/>
          <w:sz w:val="32"/>
          <w:szCs w:val="32"/>
          <w:shd w:val="clear" w:fill="FFFFFF"/>
          <w:lang w:val="en-US" w:eastAsia="zh-CN"/>
        </w:rPr>
        <w:t>2</w:t>
      </w:r>
      <w:r>
        <w:rPr>
          <w:rFonts w:hint="eastAsia" w:ascii="仿宋_GB2312" w:hAnsi="仿宋_GB2312" w:eastAsia="仿宋_GB2312" w:cs="仿宋_GB2312"/>
          <w:bCs/>
          <w:caps w:val="0"/>
          <w:color w:val="auto"/>
          <w:spacing w:val="0"/>
          <w:kern w:val="0"/>
          <w:sz w:val="32"/>
          <w:szCs w:val="32"/>
          <w:shd w:val="clear" w:fill="FFFFFF"/>
        </w:rPr>
        <w:t>年收入</w:t>
      </w:r>
      <w:r>
        <w:rPr>
          <w:rFonts w:hint="eastAsia" w:ascii="仿宋_GB2312" w:hAnsi="仿宋_GB2312" w:eastAsia="仿宋_GB2312" w:cs="仿宋_GB2312"/>
          <w:bCs/>
          <w:caps w:val="0"/>
          <w:color w:val="auto"/>
          <w:spacing w:val="0"/>
          <w:kern w:val="0"/>
          <w:sz w:val="32"/>
          <w:szCs w:val="32"/>
          <w:shd w:val="clear" w:fill="FFFFFF"/>
          <w:lang w:val="en-US" w:eastAsia="zh-CN"/>
        </w:rPr>
        <w:t>2991.29</w:t>
      </w:r>
      <w:r>
        <w:rPr>
          <w:rFonts w:hint="eastAsia" w:ascii="仿宋_GB2312" w:hAnsi="仿宋_GB2312" w:eastAsia="仿宋_GB2312" w:cs="仿宋_GB2312"/>
          <w:bCs/>
          <w:caps w:val="0"/>
          <w:color w:val="auto"/>
          <w:spacing w:val="0"/>
          <w:kern w:val="0"/>
          <w:sz w:val="32"/>
          <w:szCs w:val="32"/>
          <w:shd w:val="clear" w:fill="FFFFFF"/>
        </w:rPr>
        <w:t>万元，其中一般公共预算拨款收入</w:t>
      </w:r>
      <w:r>
        <w:rPr>
          <w:rFonts w:hint="eastAsia" w:ascii="仿宋_GB2312" w:hAnsi="仿宋_GB2312" w:eastAsia="仿宋_GB2312" w:cs="仿宋_GB2312"/>
          <w:color w:val="auto"/>
          <w:sz w:val="27"/>
          <w:szCs w:val="27"/>
        </w:rPr>
        <w:t>2,986.05</w:t>
      </w:r>
      <w:r>
        <w:rPr>
          <w:rFonts w:hint="eastAsia" w:ascii="仿宋_GB2312" w:hAnsi="仿宋_GB2312" w:eastAsia="仿宋_GB2312" w:cs="仿宋_GB2312"/>
          <w:bCs/>
          <w:caps w:val="0"/>
          <w:color w:val="auto"/>
          <w:spacing w:val="0"/>
          <w:kern w:val="0"/>
          <w:sz w:val="32"/>
          <w:szCs w:val="32"/>
          <w:shd w:val="clear" w:fill="FFFFFF"/>
        </w:rPr>
        <w:t>万元，其他收入</w:t>
      </w:r>
      <w:r>
        <w:rPr>
          <w:rFonts w:hint="eastAsia" w:ascii="仿宋_GB2312" w:hAnsi="仿宋_GB2312" w:eastAsia="仿宋_GB2312" w:cs="仿宋_GB2312"/>
          <w:bCs/>
          <w:caps w:val="0"/>
          <w:color w:val="auto"/>
          <w:spacing w:val="0"/>
          <w:kern w:val="0"/>
          <w:sz w:val="32"/>
          <w:szCs w:val="32"/>
          <w:shd w:val="clear" w:fill="FFFFFF"/>
          <w:lang w:val="en-US" w:eastAsia="zh-CN"/>
        </w:rPr>
        <w:t>5.24万</w:t>
      </w:r>
      <w:r>
        <w:rPr>
          <w:rFonts w:hint="eastAsia" w:ascii="仿宋_GB2312" w:hAnsi="仿宋_GB2312" w:eastAsia="仿宋_GB2312" w:cs="仿宋_GB2312"/>
          <w:bCs/>
          <w:caps w:val="0"/>
          <w:color w:val="auto"/>
          <w:spacing w:val="0"/>
          <w:kern w:val="0"/>
          <w:sz w:val="32"/>
          <w:szCs w:val="32"/>
          <w:shd w:val="clear" w:fill="FFFFFF"/>
        </w:rPr>
        <w:t>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aps w:val="0"/>
          <w:color w:val="auto"/>
          <w:spacing w:val="0"/>
          <w:kern w:val="0"/>
          <w:sz w:val="32"/>
          <w:szCs w:val="32"/>
          <w:shd w:val="clear" w:fill="FFFFFF"/>
          <w:lang w:val="en"/>
        </w:rPr>
        <w:t>202</w:t>
      </w:r>
      <w:r>
        <w:rPr>
          <w:rFonts w:hint="eastAsia" w:ascii="仿宋_GB2312" w:hAnsi="仿宋_GB2312" w:eastAsia="仿宋_GB2312" w:cs="仿宋_GB2312"/>
          <w:bCs/>
          <w:caps w:val="0"/>
          <w:color w:val="auto"/>
          <w:spacing w:val="0"/>
          <w:kern w:val="0"/>
          <w:sz w:val="32"/>
          <w:szCs w:val="32"/>
          <w:shd w:val="clear" w:fill="FFFFFF"/>
          <w:lang w:val="en-US" w:eastAsia="zh-CN"/>
        </w:rPr>
        <w:t>2</w:t>
      </w:r>
      <w:r>
        <w:rPr>
          <w:rFonts w:hint="eastAsia" w:ascii="仿宋_GB2312" w:hAnsi="仿宋_GB2312" w:eastAsia="仿宋_GB2312" w:cs="仿宋_GB2312"/>
          <w:bCs/>
          <w:caps w:val="0"/>
          <w:color w:val="auto"/>
          <w:spacing w:val="0"/>
          <w:kern w:val="0"/>
          <w:sz w:val="32"/>
          <w:szCs w:val="32"/>
          <w:shd w:val="clear" w:fill="FFFFFF"/>
        </w:rPr>
        <w:t>年经费支出</w:t>
      </w:r>
      <w:r>
        <w:rPr>
          <w:rFonts w:hint="eastAsia" w:ascii="仿宋_GB2312" w:hAnsi="仿宋_GB2312" w:eastAsia="仿宋_GB2312" w:cs="仿宋_GB2312"/>
          <w:color w:val="auto"/>
          <w:sz w:val="27"/>
          <w:szCs w:val="27"/>
        </w:rPr>
        <w:t>2,993.70</w:t>
      </w:r>
      <w:r>
        <w:rPr>
          <w:rFonts w:hint="eastAsia" w:ascii="仿宋_GB2312" w:hAnsi="仿宋_GB2312" w:eastAsia="仿宋_GB2312" w:cs="仿宋_GB2312"/>
          <w:bCs/>
          <w:caps w:val="0"/>
          <w:color w:val="auto"/>
          <w:spacing w:val="0"/>
          <w:kern w:val="0"/>
          <w:sz w:val="32"/>
          <w:szCs w:val="32"/>
          <w:shd w:val="clear" w:fill="FFFFFF"/>
        </w:rPr>
        <w:t>万元，其中基本支出</w:t>
      </w:r>
      <w:r>
        <w:rPr>
          <w:rFonts w:hint="eastAsia" w:ascii="仿宋_GB2312" w:hAnsi="仿宋_GB2312" w:eastAsia="仿宋_GB2312" w:cs="仿宋_GB2312"/>
          <w:color w:val="auto"/>
          <w:sz w:val="27"/>
          <w:szCs w:val="27"/>
        </w:rPr>
        <w:t>1,822.38</w:t>
      </w:r>
      <w:r>
        <w:rPr>
          <w:rFonts w:hint="eastAsia" w:ascii="仿宋_GB2312" w:hAnsi="仿宋_GB2312" w:eastAsia="仿宋_GB2312" w:cs="仿宋_GB2312"/>
          <w:bCs/>
          <w:caps w:val="0"/>
          <w:color w:val="auto"/>
          <w:spacing w:val="0"/>
          <w:kern w:val="0"/>
          <w:sz w:val="32"/>
          <w:szCs w:val="32"/>
          <w:shd w:val="clear" w:fill="FFFFFF"/>
        </w:rPr>
        <w:t>万元，项目支出</w:t>
      </w:r>
      <w:r>
        <w:rPr>
          <w:rFonts w:hint="eastAsia" w:ascii="仿宋_GB2312" w:hAnsi="仿宋_GB2312" w:eastAsia="仿宋_GB2312" w:cs="仿宋_GB2312"/>
          <w:color w:val="auto"/>
          <w:sz w:val="27"/>
          <w:szCs w:val="27"/>
        </w:rPr>
        <w:t>1,171.32</w:t>
      </w:r>
      <w:r>
        <w:rPr>
          <w:rFonts w:hint="eastAsia" w:ascii="仿宋_GB2312" w:hAnsi="仿宋_GB2312" w:eastAsia="仿宋_GB2312" w:cs="仿宋_GB2312"/>
          <w:bCs/>
          <w:caps w:val="0"/>
          <w:color w:val="auto"/>
          <w:spacing w:val="0"/>
          <w:kern w:val="0"/>
          <w:sz w:val="32"/>
          <w:szCs w:val="32"/>
          <w:shd w:val="clear" w:fill="FFFFFF"/>
        </w:rPr>
        <w:t>万元。</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Cs/>
          <w:caps w:val="0"/>
          <w:color w:val="auto"/>
          <w:spacing w:val="0"/>
          <w:kern w:val="0"/>
          <w:sz w:val="32"/>
          <w:szCs w:val="32"/>
          <w:shd w:val="clear" w:fill="FFFFFF"/>
        </w:rPr>
      </w:pPr>
      <w:r>
        <w:rPr>
          <w:rFonts w:hint="eastAsia" w:ascii="仿宋_GB2312" w:hAnsi="仿宋_GB2312" w:eastAsia="仿宋_GB2312" w:cs="仿宋_GB2312"/>
          <w:bCs/>
          <w:caps w:val="0"/>
          <w:color w:val="auto"/>
          <w:spacing w:val="0"/>
          <w:kern w:val="0"/>
          <w:sz w:val="32"/>
          <w:szCs w:val="32"/>
          <w:shd w:val="clear" w:fill="FFFFFF"/>
        </w:rPr>
        <w:t>一般公共预算财政拨款支出</w:t>
      </w:r>
      <w:r>
        <w:rPr>
          <w:rFonts w:hint="eastAsia" w:ascii="仿宋_GB2312" w:hAnsi="仿宋_GB2312" w:eastAsia="仿宋_GB2312" w:cs="仿宋_GB2312"/>
          <w:bCs/>
          <w:caps w:val="0"/>
          <w:color w:val="auto"/>
          <w:spacing w:val="0"/>
          <w:kern w:val="0"/>
          <w:sz w:val="32"/>
          <w:szCs w:val="32"/>
          <w:shd w:val="clear" w:fill="FFFFFF"/>
          <w:lang w:val="en-US" w:eastAsia="zh-CN"/>
        </w:rPr>
        <w:t>2986.05</w:t>
      </w:r>
      <w:r>
        <w:rPr>
          <w:rFonts w:hint="eastAsia" w:ascii="仿宋_GB2312" w:hAnsi="仿宋_GB2312" w:eastAsia="仿宋_GB2312" w:cs="仿宋_GB2312"/>
          <w:bCs/>
          <w:caps w:val="0"/>
          <w:color w:val="auto"/>
          <w:spacing w:val="0"/>
          <w:kern w:val="0"/>
          <w:sz w:val="32"/>
          <w:szCs w:val="32"/>
          <w:shd w:val="clear" w:fill="FFFFFF"/>
        </w:rPr>
        <w:t>万元，主要用于以下方面：</w:t>
      </w:r>
      <w:r>
        <w:rPr>
          <w:rFonts w:hint="eastAsia" w:ascii="仿宋_GB2312" w:hAnsi="仿宋_GB2312" w:eastAsia="仿宋_GB2312" w:cs="仿宋_GB2312"/>
          <w:color w:val="auto"/>
          <w:sz w:val="32"/>
          <w:szCs w:val="32"/>
          <w:shd w:val="clear" w:color="auto" w:fill="FFFFFF"/>
        </w:rPr>
        <w:t>社会保障和就业（类）支出</w:t>
      </w:r>
      <w:r>
        <w:rPr>
          <w:rFonts w:hint="eastAsia" w:ascii="仿宋_GB2312" w:hAnsi="仿宋_GB2312" w:eastAsia="仿宋_GB2312" w:cs="仿宋_GB2312"/>
          <w:color w:val="auto"/>
          <w:sz w:val="32"/>
          <w:szCs w:val="32"/>
          <w:shd w:val="clear" w:color="auto" w:fill="FFFFFF"/>
          <w:lang w:val="en-US" w:eastAsia="zh-CN"/>
        </w:rPr>
        <w:t>186.38</w:t>
      </w:r>
      <w:r>
        <w:rPr>
          <w:rFonts w:hint="eastAsia" w:ascii="仿宋_GB2312" w:hAnsi="仿宋_GB2312" w:eastAsia="仿宋_GB2312" w:cs="仿宋_GB2312"/>
          <w:color w:val="auto"/>
          <w:sz w:val="32"/>
          <w:szCs w:val="32"/>
          <w:shd w:val="clear" w:color="auto" w:fill="FFFFFF"/>
        </w:rPr>
        <w:t>万元，占</w:t>
      </w:r>
      <w:r>
        <w:rPr>
          <w:rFonts w:hint="eastAsia" w:ascii="仿宋_GB2312" w:hAnsi="仿宋_GB2312" w:eastAsia="仿宋_GB2312" w:cs="仿宋_GB2312"/>
          <w:color w:val="auto"/>
          <w:sz w:val="32"/>
          <w:szCs w:val="32"/>
          <w:shd w:val="clear" w:color="auto" w:fill="FFFFFF"/>
          <w:lang w:val="en-US" w:eastAsia="zh-CN"/>
        </w:rPr>
        <w:t>6.24</w:t>
      </w:r>
      <w:r>
        <w:rPr>
          <w:rFonts w:hint="eastAsia" w:ascii="仿宋_GB2312" w:hAnsi="仿宋_GB2312" w:eastAsia="仿宋_GB2312" w:cs="仿宋_GB2312"/>
          <w:color w:val="auto"/>
          <w:sz w:val="32"/>
          <w:szCs w:val="32"/>
          <w:shd w:val="clear" w:color="auto" w:fill="FFFFFF"/>
        </w:rPr>
        <w:t>%；卫生健康（类）支出</w:t>
      </w:r>
      <w:r>
        <w:rPr>
          <w:rFonts w:hint="eastAsia" w:ascii="仿宋_GB2312" w:hAnsi="仿宋_GB2312" w:eastAsia="仿宋_GB2312" w:cs="仿宋_GB2312"/>
          <w:color w:val="auto"/>
          <w:sz w:val="32"/>
          <w:szCs w:val="32"/>
          <w:shd w:val="clear" w:color="auto" w:fill="FFFFFF"/>
          <w:lang w:val="en-US" w:eastAsia="zh-CN"/>
        </w:rPr>
        <w:t>98.29</w:t>
      </w:r>
      <w:r>
        <w:rPr>
          <w:rFonts w:hint="eastAsia" w:ascii="仿宋_GB2312" w:hAnsi="仿宋_GB2312" w:eastAsia="仿宋_GB2312" w:cs="仿宋_GB2312"/>
          <w:color w:val="auto"/>
          <w:sz w:val="32"/>
          <w:szCs w:val="32"/>
          <w:shd w:val="clear" w:color="auto" w:fill="FFFFFF"/>
        </w:rPr>
        <w:t>万元，占</w:t>
      </w:r>
      <w:r>
        <w:rPr>
          <w:rFonts w:hint="eastAsia" w:ascii="仿宋_GB2312" w:hAnsi="仿宋_GB2312" w:eastAsia="仿宋_GB2312" w:cs="仿宋_GB2312"/>
          <w:color w:val="auto"/>
          <w:sz w:val="32"/>
          <w:szCs w:val="32"/>
          <w:shd w:val="clear" w:color="auto" w:fill="FFFFFF"/>
          <w:lang w:val="en-US" w:eastAsia="zh-CN"/>
        </w:rPr>
        <w:t>3.29</w:t>
      </w:r>
      <w:r>
        <w:rPr>
          <w:rFonts w:hint="eastAsia" w:ascii="仿宋_GB2312" w:hAnsi="仿宋_GB2312" w:eastAsia="仿宋_GB2312" w:cs="仿宋_GB2312"/>
          <w:color w:val="auto"/>
          <w:sz w:val="32"/>
          <w:szCs w:val="32"/>
          <w:shd w:val="clear" w:color="auto" w:fill="FFFFFF"/>
        </w:rPr>
        <w:t>%;住房保障（类）支出</w:t>
      </w:r>
      <w:r>
        <w:rPr>
          <w:rFonts w:hint="eastAsia" w:ascii="仿宋_GB2312" w:hAnsi="仿宋_GB2312" w:eastAsia="仿宋_GB2312" w:cs="仿宋_GB2312"/>
          <w:color w:val="auto"/>
          <w:sz w:val="32"/>
          <w:szCs w:val="32"/>
          <w:shd w:val="clear" w:color="auto" w:fill="FFFFFF"/>
          <w:lang w:val="en-US" w:eastAsia="zh-CN"/>
        </w:rPr>
        <w:t>103.63</w:t>
      </w:r>
      <w:r>
        <w:rPr>
          <w:rFonts w:hint="eastAsia" w:ascii="仿宋_GB2312" w:hAnsi="仿宋_GB2312" w:eastAsia="仿宋_GB2312" w:cs="仿宋_GB2312"/>
          <w:color w:val="auto"/>
          <w:sz w:val="32"/>
          <w:szCs w:val="32"/>
          <w:shd w:val="clear" w:color="auto" w:fill="FFFFFF"/>
        </w:rPr>
        <w:t>万元，占</w:t>
      </w:r>
      <w:r>
        <w:rPr>
          <w:rFonts w:hint="eastAsia" w:ascii="仿宋_GB2312" w:hAnsi="仿宋_GB2312" w:eastAsia="仿宋_GB2312" w:cs="仿宋_GB2312"/>
          <w:color w:val="auto"/>
          <w:sz w:val="32"/>
          <w:szCs w:val="32"/>
          <w:shd w:val="clear" w:color="auto" w:fill="FFFFFF"/>
          <w:lang w:val="en-US" w:eastAsia="zh-CN"/>
        </w:rPr>
        <w:t>3.47</w:t>
      </w:r>
      <w:r>
        <w:rPr>
          <w:rFonts w:hint="eastAsia" w:ascii="仿宋_GB2312" w:hAnsi="仿宋_GB2312" w:eastAsia="仿宋_GB2312" w:cs="仿宋_GB2312"/>
          <w:color w:val="auto"/>
          <w:sz w:val="32"/>
          <w:szCs w:val="32"/>
          <w:shd w:val="clear" w:color="auto" w:fill="FFFFFF"/>
        </w:rPr>
        <w:t>%；灾害防治及应急管理（类）支出</w:t>
      </w:r>
      <w:r>
        <w:rPr>
          <w:rFonts w:hint="eastAsia" w:ascii="仿宋_GB2312" w:hAnsi="仿宋_GB2312" w:eastAsia="仿宋_GB2312" w:cs="仿宋_GB2312"/>
          <w:color w:val="auto"/>
          <w:sz w:val="32"/>
          <w:szCs w:val="32"/>
          <w:shd w:val="clear" w:color="auto" w:fill="FFFFFF"/>
          <w:lang w:val="en-US" w:eastAsia="zh-CN"/>
        </w:rPr>
        <w:t>2597.75</w:t>
      </w:r>
      <w:r>
        <w:rPr>
          <w:rFonts w:hint="eastAsia" w:ascii="仿宋_GB2312" w:hAnsi="仿宋_GB2312" w:eastAsia="仿宋_GB2312" w:cs="仿宋_GB2312"/>
          <w:color w:val="auto"/>
          <w:sz w:val="32"/>
          <w:szCs w:val="32"/>
          <w:shd w:val="clear" w:color="auto" w:fill="FFFFFF"/>
        </w:rPr>
        <w:t>万元，占</w:t>
      </w:r>
      <w:r>
        <w:rPr>
          <w:rFonts w:hint="eastAsia" w:ascii="仿宋_GB2312" w:hAnsi="仿宋_GB2312" w:eastAsia="仿宋_GB2312" w:cs="仿宋_GB2312"/>
          <w:color w:val="auto"/>
          <w:sz w:val="32"/>
          <w:szCs w:val="32"/>
          <w:shd w:val="clear" w:color="auto" w:fill="FFFFFF"/>
          <w:lang w:val="en-US" w:eastAsia="zh-CN"/>
        </w:rPr>
        <w:t>87</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b w:val="0"/>
          <w:bCs w:val="0"/>
          <w:color w:val="auto"/>
        </w:rPr>
      </w:pPr>
      <w:r>
        <w:rPr>
          <w:rFonts w:hint="default" w:ascii="楷体_GB2312" w:hAnsi="Calibri" w:eastAsia="楷体_GB2312" w:cs="楷体_GB2312"/>
          <w:b w:val="0"/>
          <w:bCs w:val="0"/>
          <w:color w:val="auto"/>
          <w:kern w:val="2"/>
          <w:sz w:val="32"/>
          <w:szCs w:val="32"/>
          <w:lang w:val="en-US" w:eastAsia="zh-CN" w:bidi="ar"/>
        </w:rPr>
        <w:t>（二）基本支出</w:t>
      </w:r>
      <w:r>
        <w:rPr>
          <w:rFonts w:hint="eastAsia" w:ascii="楷体_GB2312" w:hAnsi="Calibri" w:eastAsia="楷体_GB2312" w:cs="楷体_GB2312"/>
          <w:b w:val="0"/>
          <w:bCs w:val="0"/>
          <w:color w:val="auto"/>
          <w:kern w:val="2"/>
          <w:sz w:val="32"/>
          <w:szCs w:val="32"/>
          <w:lang w:val="en-US" w:eastAsia="zh-CN" w:bidi="ar"/>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aps w:val="0"/>
          <w:color w:val="auto"/>
          <w:spacing w:val="0"/>
          <w:kern w:val="0"/>
          <w:sz w:val="32"/>
          <w:szCs w:val="32"/>
          <w:shd w:val="clear" w:fill="FFFFFF"/>
        </w:rPr>
        <w:t>基本支出是为保障单位机构正常运转、完成日常工作任务而发生的各项支出，包括人员经费和日常公用经费。</w:t>
      </w:r>
      <w:r>
        <w:rPr>
          <w:rFonts w:hint="eastAsia" w:ascii="仿宋_GB2312" w:hAnsi="仿宋_GB2312" w:eastAsia="仿宋_GB2312" w:cs="仿宋_GB2312"/>
          <w:bCs/>
          <w:caps w:val="0"/>
          <w:color w:val="auto"/>
          <w:spacing w:val="0"/>
          <w:kern w:val="0"/>
          <w:sz w:val="32"/>
          <w:szCs w:val="32"/>
          <w:shd w:val="clear" w:fill="FFFFFF"/>
          <w:lang w:val="en"/>
        </w:rPr>
        <w:t>202</w:t>
      </w:r>
      <w:r>
        <w:rPr>
          <w:rFonts w:hint="eastAsia" w:ascii="仿宋_GB2312" w:hAnsi="仿宋_GB2312" w:eastAsia="仿宋_GB2312" w:cs="仿宋_GB2312"/>
          <w:bCs/>
          <w:caps w:val="0"/>
          <w:color w:val="auto"/>
          <w:spacing w:val="0"/>
          <w:kern w:val="0"/>
          <w:sz w:val="32"/>
          <w:szCs w:val="32"/>
          <w:shd w:val="clear" w:fill="FFFFFF"/>
          <w:lang w:val="en-US" w:eastAsia="zh-CN"/>
        </w:rPr>
        <w:t>2</w:t>
      </w:r>
      <w:r>
        <w:rPr>
          <w:rFonts w:hint="eastAsia" w:ascii="仿宋_GB2312" w:hAnsi="仿宋_GB2312" w:eastAsia="仿宋_GB2312" w:cs="仿宋_GB2312"/>
          <w:bCs/>
          <w:caps w:val="0"/>
          <w:color w:val="auto"/>
          <w:spacing w:val="0"/>
          <w:kern w:val="0"/>
          <w:sz w:val="32"/>
          <w:szCs w:val="32"/>
          <w:shd w:val="clear" w:fill="FFFFFF"/>
        </w:rPr>
        <w:t>年度一般公共预算财政拨款基本支出</w:t>
      </w:r>
      <w:r>
        <w:rPr>
          <w:rFonts w:hint="eastAsia" w:ascii="仿宋_GB2312" w:hAnsi="仿宋_GB2312" w:eastAsia="仿宋_GB2312" w:cs="仿宋_GB2312"/>
          <w:bCs/>
          <w:caps w:val="0"/>
          <w:color w:val="auto"/>
          <w:spacing w:val="0"/>
          <w:kern w:val="0"/>
          <w:sz w:val="32"/>
          <w:szCs w:val="32"/>
          <w:shd w:val="clear" w:fill="FFFFFF"/>
          <w:lang w:val="en-US" w:eastAsia="zh-CN"/>
        </w:rPr>
        <w:t>1814.73</w:t>
      </w:r>
      <w:r>
        <w:rPr>
          <w:rFonts w:hint="eastAsia" w:ascii="仿宋_GB2312" w:hAnsi="仿宋_GB2312" w:eastAsia="仿宋_GB2312" w:cs="仿宋_GB2312"/>
          <w:bCs/>
          <w:caps w:val="0"/>
          <w:color w:val="auto"/>
          <w:spacing w:val="0"/>
          <w:kern w:val="0"/>
          <w:sz w:val="32"/>
          <w:szCs w:val="32"/>
          <w:shd w:val="clear" w:fill="FFFFFF"/>
        </w:rPr>
        <w:t>万元，其中：工资福利支出</w:t>
      </w:r>
      <w:r>
        <w:rPr>
          <w:rFonts w:hint="eastAsia" w:ascii="仿宋_GB2312" w:hAnsi="仿宋_GB2312" w:eastAsia="仿宋_GB2312" w:cs="仿宋_GB2312"/>
          <w:bCs/>
          <w:caps w:val="0"/>
          <w:color w:val="auto"/>
          <w:spacing w:val="0"/>
          <w:kern w:val="0"/>
          <w:sz w:val="32"/>
          <w:szCs w:val="32"/>
          <w:shd w:val="clear" w:fill="FFFFFF"/>
          <w:lang w:val="en-US" w:eastAsia="zh-CN"/>
        </w:rPr>
        <w:t>1163.03</w:t>
      </w:r>
      <w:r>
        <w:rPr>
          <w:rFonts w:hint="eastAsia" w:ascii="仿宋_GB2312" w:hAnsi="仿宋_GB2312" w:eastAsia="仿宋_GB2312" w:cs="仿宋_GB2312"/>
          <w:bCs/>
          <w:caps w:val="0"/>
          <w:color w:val="auto"/>
          <w:spacing w:val="0"/>
          <w:kern w:val="0"/>
          <w:sz w:val="32"/>
          <w:szCs w:val="32"/>
          <w:shd w:val="clear" w:fill="FFFFFF"/>
        </w:rPr>
        <w:t>万元；商品和服务支出</w:t>
      </w:r>
      <w:r>
        <w:rPr>
          <w:rFonts w:hint="eastAsia" w:ascii="仿宋_GB2312" w:hAnsi="仿宋_GB2312" w:eastAsia="仿宋_GB2312" w:cs="仿宋_GB2312"/>
          <w:bCs/>
          <w:caps w:val="0"/>
          <w:color w:val="auto"/>
          <w:spacing w:val="0"/>
          <w:kern w:val="0"/>
          <w:sz w:val="32"/>
          <w:szCs w:val="32"/>
          <w:shd w:val="clear" w:fill="FFFFFF"/>
          <w:lang w:val="en-US" w:eastAsia="zh-CN"/>
        </w:rPr>
        <w:t>543</w:t>
      </w:r>
      <w:r>
        <w:rPr>
          <w:rFonts w:hint="eastAsia" w:ascii="仿宋_GB2312" w:hAnsi="仿宋_GB2312" w:eastAsia="仿宋_GB2312" w:cs="仿宋_GB2312"/>
          <w:bCs/>
          <w:caps w:val="0"/>
          <w:color w:val="auto"/>
          <w:spacing w:val="0"/>
          <w:kern w:val="0"/>
          <w:sz w:val="32"/>
          <w:szCs w:val="32"/>
          <w:shd w:val="clear" w:fill="FFFFFF"/>
        </w:rPr>
        <w:t>万元；对个人和家庭的补助</w:t>
      </w:r>
      <w:r>
        <w:rPr>
          <w:rFonts w:hint="eastAsia" w:ascii="仿宋_GB2312" w:hAnsi="仿宋_GB2312" w:eastAsia="仿宋_GB2312" w:cs="仿宋_GB2312"/>
          <w:bCs/>
          <w:caps w:val="0"/>
          <w:color w:val="auto"/>
          <w:spacing w:val="0"/>
          <w:kern w:val="0"/>
          <w:sz w:val="32"/>
          <w:szCs w:val="32"/>
          <w:shd w:val="clear" w:fill="FFFFFF"/>
          <w:lang w:val="en-US" w:eastAsia="zh-CN"/>
        </w:rPr>
        <w:t>107.08</w:t>
      </w:r>
      <w:r>
        <w:rPr>
          <w:rFonts w:hint="eastAsia" w:ascii="仿宋_GB2312" w:hAnsi="仿宋_GB2312" w:eastAsia="仿宋_GB2312" w:cs="仿宋_GB2312"/>
          <w:bCs/>
          <w:caps w:val="0"/>
          <w:color w:val="auto"/>
          <w:spacing w:val="0"/>
          <w:kern w:val="0"/>
          <w:sz w:val="32"/>
          <w:szCs w:val="32"/>
          <w:shd w:val="clear" w:fill="FFFFFF"/>
        </w:rPr>
        <w:t>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spacing w:before="0" w:beforeAutospacing="0" w:after="0" w:afterAutospacing="0" w:line="56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aps w:val="0"/>
          <w:color w:val="auto"/>
          <w:spacing w:val="0"/>
          <w:kern w:val="0"/>
          <w:sz w:val="32"/>
          <w:szCs w:val="32"/>
          <w:shd w:val="clear" w:fill="FFFFFF"/>
        </w:rPr>
        <w:t>资金通过财政实行国库集中支付，资金的使用严格按照财务审批制度和审批程序层层把关。“三公经费”中，公务用车购置及运行维护费</w:t>
      </w:r>
      <w:r>
        <w:rPr>
          <w:rFonts w:hint="eastAsia" w:ascii="仿宋_GB2312" w:hAnsi="仿宋_GB2312" w:eastAsia="仿宋_GB2312" w:cs="仿宋_GB2312"/>
          <w:bCs/>
          <w:caps w:val="0"/>
          <w:color w:val="auto"/>
          <w:spacing w:val="0"/>
          <w:kern w:val="0"/>
          <w:sz w:val="32"/>
          <w:szCs w:val="32"/>
          <w:shd w:val="clear" w:fill="FFFFFF"/>
          <w:lang w:val="en-US" w:eastAsia="zh-CN"/>
        </w:rPr>
        <w:t>15.45</w:t>
      </w:r>
      <w:r>
        <w:rPr>
          <w:rFonts w:hint="eastAsia" w:ascii="仿宋_GB2312" w:hAnsi="仿宋_GB2312" w:eastAsia="仿宋_GB2312" w:cs="仿宋_GB2312"/>
          <w:bCs/>
          <w:caps w:val="0"/>
          <w:color w:val="auto"/>
          <w:spacing w:val="0"/>
          <w:kern w:val="0"/>
          <w:sz w:val="32"/>
          <w:szCs w:val="32"/>
          <w:shd w:val="clear" w:fill="FFFFFF"/>
        </w:rPr>
        <w:t>万元；公务接待费</w:t>
      </w:r>
      <w:r>
        <w:rPr>
          <w:rFonts w:hint="eastAsia" w:ascii="仿宋_GB2312" w:hAnsi="仿宋_GB2312" w:eastAsia="仿宋_GB2312" w:cs="仿宋_GB2312"/>
          <w:bCs/>
          <w:caps w:val="0"/>
          <w:color w:val="auto"/>
          <w:spacing w:val="0"/>
          <w:kern w:val="0"/>
          <w:sz w:val="32"/>
          <w:szCs w:val="32"/>
          <w:shd w:val="clear" w:fill="FFFFFF"/>
          <w:lang w:val="en-US" w:eastAsia="zh-CN"/>
        </w:rPr>
        <w:t>2.92</w:t>
      </w:r>
      <w:r>
        <w:rPr>
          <w:rFonts w:hint="eastAsia" w:ascii="仿宋_GB2312" w:hAnsi="仿宋_GB2312" w:eastAsia="仿宋_GB2312" w:cs="仿宋_GB2312"/>
          <w:bCs/>
          <w:caps w:val="0"/>
          <w:color w:val="auto"/>
          <w:spacing w:val="0"/>
          <w:kern w:val="0"/>
          <w:sz w:val="32"/>
          <w:szCs w:val="32"/>
          <w:shd w:val="clear" w:fill="FFFFFF"/>
        </w:rPr>
        <w:t>万元，出国境费为0。公务接待严格控制接待标准和陪餐人数，车辆管理均实行在公务用车平台申报制度，全局按照厉行节约的管理思路，严格控制“三公经费”的支出。</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left"/>
        <w:textAlignment w:val="auto"/>
        <w:rPr>
          <w:b w:val="0"/>
          <w:bCs w:val="0"/>
          <w:color w:val="auto"/>
        </w:rPr>
      </w:pPr>
      <w:r>
        <w:rPr>
          <w:rFonts w:hint="default" w:ascii="楷体_GB2312" w:hAnsi="Calibri" w:eastAsia="楷体_GB2312" w:cs="Times New Roman"/>
          <w:b w:val="0"/>
          <w:bCs w:val="0"/>
          <w:color w:val="auto"/>
          <w:kern w:val="2"/>
          <w:sz w:val="32"/>
          <w:szCs w:val="32"/>
          <w:lang w:val="en-US" w:eastAsia="zh-CN" w:bidi="ar"/>
        </w:rPr>
        <w:t>（三）</w:t>
      </w:r>
      <w:r>
        <w:rPr>
          <w:rFonts w:hint="default" w:ascii="楷体_GB2312" w:hAnsi="Calibri" w:eastAsia="楷体_GB2312" w:cs="楷体_GB2312"/>
          <w:b w:val="0"/>
          <w:bCs w:val="0"/>
          <w:color w:val="auto"/>
          <w:kern w:val="2"/>
          <w:sz w:val="32"/>
          <w:szCs w:val="32"/>
          <w:lang w:val="en-US" w:eastAsia="zh-CN" w:bidi="ar"/>
        </w:rPr>
        <w:t>专项支出</w:t>
      </w:r>
      <w:r>
        <w:rPr>
          <w:rFonts w:hint="eastAsia" w:ascii="楷体_GB2312" w:hAnsi="Calibri" w:eastAsia="楷体_GB2312" w:cs="楷体_GB2312"/>
          <w:b w:val="0"/>
          <w:bCs w:val="0"/>
          <w:color w:val="auto"/>
          <w:kern w:val="2"/>
          <w:sz w:val="32"/>
          <w:szCs w:val="32"/>
          <w:lang w:val="en-US" w:eastAsia="zh-CN" w:bidi="ar"/>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aps w:val="0"/>
          <w:color w:val="auto"/>
          <w:spacing w:val="0"/>
          <w:kern w:val="0"/>
          <w:sz w:val="32"/>
          <w:szCs w:val="32"/>
          <w:shd w:val="clear" w:fill="FFFFFF"/>
        </w:rPr>
        <w:t>1.</w:t>
      </w:r>
      <w:r>
        <w:rPr>
          <w:rFonts w:hint="eastAsia" w:ascii="仿宋_GB2312" w:hAnsi="仿宋_GB2312" w:eastAsia="仿宋_GB2312" w:cs="仿宋_GB2312"/>
          <w:bCs/>
          <w:caps w:val="0"/>
          <w:color w:val="auto"/>
          <w:spacing w:val="0"/>
          <w:kern w:val="0"/>
          <w:sz w:val="32"/>
          <w:szCs w:val="32"/>
          <w:shd w:val="clear" w:fill="FFFFFF"/>
          <w:lang w:val="en"/>
        </w:rPr>
        <w:t>202</w:t>
      </w:r>
      <w:r>
        <w:rPr>
          <w:rFonts w:hint="eastAsia" w:ascii="仿宋_GB2312" w:hAnsi="仿宋_GB2312" w:eastAsia="仿宋_GB2312" w:cs="仿宋_GB2312"/>
          <w:bCs/>
          <w:caps w:val="0"/>
          <w:color w:val="auto"/>
          <w:spacing w:val="0"/>
          <w:kern w:val="0"/>
          <w:sz w:val="32"/>
          <w:szCs w:val="32"/>
          <w:shd w:val="clear" w:fill="FFFFFF"/>
          <w:lang w:val="en-US" w:eastAsia="zh-CN"/>
        </w:rPr>
        <w:t>2</w:t>
      </w:r>
      <w:r>
        <w:rPr>
          <w:rFonts w:hint="eastAsia" w:ascii="仿宋_GB2312" w:hAnsi="仿宋_GB2312" w:eastAsia="仿宋_GB2312" w:cs="仿宋_GB2312"/>
          <w:bCs/>
          <w:caps w:val="0"/>
          <w:color w:val="auto"/>
          <w:spacing w:val="0"/>
          <w:kern w:val="0"/>
          <w:sz w:val="32"/>
          <w:szCs w:val="32"/>
          <w:shd w:val="clear" w:fill="FFFFFF"/>
        </w:rPr>
        <w:t>年我局专项资金支出</w:t>
      </w:r>
      <w:r>
        <w:rPr>
          <w:rFonts w:hint="eastAsia" w:ascii="仿宋_GB2312" w:hAnsi="仿宋_GB2312" w:eastAsia="仿宋_GB2312" w:cs="仿宋_GB2312"/>
          <w:bCs/>
          <w:caps w:val="0"/>
          <w:color w:val="auto"/>
          <w:spacing w:val="0"/>
          <w:kern w:val="0"/>
          <w:sz w:val="32"/>
          <w:szCs w:val="32"/>
          <w:shd w:val="clear" w:fill="FFFFFF"/>
          <w:lang w:val="en-US" w:eastAsia="zh-CN"/>
        </w:rPr>
        <w:t>1171.32</w:t>
      </w:r>
      <w:r>
        <w:rPr>
          <w:rFonts w:hint="eastAsia" w:ascii="仿宋_GB2312" w:hAnsi="仿宋_GB2312" w:eastAsia="仿宋_GB2312" w:cs="仿宋_GB2312"/>
          <w:bCs/>
          <w:caps w:val="0"/>
          <w:color w:val="auto"/>
          <w:spacing w:val="0"/>
          <w:kern w:val="0"/>
          <w:sz w:val="32"/>
          <w:szCs w:val="32"/>
          <w:shd w:val="clear" w:fill="FFFFFF"/>
        </w:rPr>
        <w:t>万元。</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spacing w:before="0" w:beforeAutospacing="0" w:after="0" w:afterAutospacing="0" w:line="240" w:lineRule="auto"/>
        <w:ind w:left="0" w:leftChars="0" w:right="0" w:rightChars="0" w:firstLine="640" w:firstLineChars="200"/>
        <w:jc w:val="left"/>
        <w:textAlignment w:val="auto"/>
        <w:rPr>
          <w:rFonts w:hint="eastAsia" w:ascii="仿宋_GB2312" w:hAnsi="仿宋_GB2312" w:eastAsia="仿宋_GB2312" w:cs="仿宋_GB2312"/>
          <w:bCs/>
          <w:caps w:val="0"/>
          <w:color w:val="auto"/>
          <w:spacing w:val="0"/>
          <w:kern w:val="0"/>
          <w:sz w:val="32"/>
          <w:szCs w:val="32"/>
          <w:shd w:val="clear" w:fill="FFFFFF"/>
          <w:lang w:val="en" w:eastAsia="zh-CN"/>
        </w:rPr>
      </w:pPr>
      <w:r>
        <w:rPr>
          <w:rFonts w:hint="eastAsia" w:ascii="仿宋_GB2312" w:hAnsi="仿宋_GB2312" w:eastAsia="仿宋_GB2312" w:cs="仿宋_GB2312"/>
          <w:bCs/>
          <w:caps w:val="0"/>
          <w:color w:val="auto"/>
          <w:spacing w:val="0"/>
          <w:kern w:val="0"/>
          <w:sz w:val="32"/>
          <w:szCs w:val="32"/>
          <w:shd w:val="clear" w:fill="FFFFFF"/>
          <w:lang w:val="en-US" w:eastAsia="zh-CN"/>
        </w:rPr>
        <w:t>2.</w:t>
      </w:r>
      <w:r>
        <w:rPr>
          <w:rFonts w:hint="eastAsia" w:ascii="仿宋_GB2312" w:hAnsi="仿宋_GB2312" w:eastAsia="仿宋_GB2312" w:cs="仿宋_GB2312"/>
          <w:bCs/>
          <w:caps w:val="0"/>
          <w:color w:val="auto"/>
          <w:spacing w:val="0"/>
          <w:kern w:val="0"/>
          <w:sz w:val="32"/>
          <w:szCs w:val="32"/>
          <w:shd w:val="clear" w:fill="FFFFFF"/>
        </w:rPr>
        <w:t>专项资金具体开支情况为：中央、省级自然灾害救灾资金</w:t>
      </w:r>
      <w:r>
        <w:rPr>
          <w:rFonts w:hint="default" w:ascii="仿宋_GB2312" w:hAnsi="仿宋_GB2312" w:eastAsia="仿宋_GB2312" w:cs="仿宋_GB2312"/>
          <w:bCs/>
          <w:caps w:val="0"/>
          <w:color w:val="auto"/>
          <w:spacing w:val="0"/>
          <w:kern w:val="0"/>
          <w:sz w:val="32"/>
          <w:szCs w:val="32"/>
          <w:shd w:val="clear" w:fill="FFFFFF"/>
          <w:lang w:val="en" w:eastAsia="zh-CN"/>
        </w:rPr>
        <w:t>8.2</w:t>
      </w:r>
      <w:r>
        <w:rPr>
          <w:rFonts w:hint="eastAsia" w:ascii="仿宋_GB2312" w:hAnsi="仿宋_GB2312" w:eastAsia="仿宋_GB2312" w:cs="仿宋_GB2312"/>
          <w:bCs/>
          <w:caps w:val="0"/>
          <w:color w:val="auto"/>
          <w:spacing w:val="0"/>
          <w:kern w:val="0"/>
          <w:sz w:val="32"/>
          <w:szCs w:val="32"/>
          <w:shd w:val="clear" w:fill="FFFFFF"/>
        </w:rPr>
        <w:t>万元，应急管理支出</w:t>
      </w:r>
      <w:r>
        <w:rPr>
          <w:rFonts w:hint="default" w:ascii="仿宋_GB2312" w:hAnsi="仿宋_GB2312" w:eastAsia="仿宋_GB2312" w:cs="仿宋_GB2312"/>
          <w:bCs/>
          <w:caps w:val="0"/>
          <w:color w:val="auto"/>
          <w:spacing w:val="0"/>
          <w:kern w:val="0"/>
          <w:sz w:val="32"/>
          <w:szCs w:val="32"/>
          <w:shd w:val="clear" w:fill="FFFFFF"/>
          <w:lang w:val="en" w:eastAsia="zh-CN"/>
        </w:rPr>
        <w:t>78.85</w:t>
      </w:r>
      <w:r>
        <w:rPr>
          <w:rFonts w:hint="eastAsia" w:ascii="仿宋_GB2312" w:hAnsi="仿宋_GB2312" w:eastAsia="仿宋_GB2312" w:cs="仿宋_GB2312"/>
          <w:bCs/>
          <w:caps w:val="0"/>
          <w:color w:val="auto"/>
          <w:spacing w:val="0"/>
          <w:kern w:val="0"/>
          <w:sz w:val="32"/>
          <w:szCs w:val="32"/>
          <w:shd w:val="clear" w:fill="FFFFFF"/>
        </w:rPr>
        <w:t>万元</w:t>
      </w:r>
      <w:r>
        <w:rPr>
          <w:rFonts w:hint="eastAsia" w:ascii="仿宋_GB2312" w:hAnsi="仿宋_GB2312" w:eastAsia="仿宋_GB2312" w:cs="仿宋_GB2312"/>
          <w:bCs/>
          <w:caps w:val="0"/>
          <w:color w:val="auto"/>
          <w:spacing w:val="0"/>
          <w:kern w:val="0"/>
          <w:sz w:val="32"/>
          <w:szCs w:val="32"/>
          <w:shd w:val="clear" w:fill="FFFFFF"/>
          <w:lang w:val="en-US" w:eastAsia="zh-CN"/>
        </w:rPr>
        <w:t>,煤矿危房改造支出</w:t>
      </w:r>
      <w:r>
        <w:rPr>
          <w:rFonts w:hint="default" w:ascii="仿宋_GB2312" w:hAnsi="仿宋_GB2312" w:eastAsia="仿宋_GB2312" w:cs="仿宋_GB2312"/>
          <w:bCs/>
          <w:caps w:val="0"/>
          <w:color w:val="auto"/>
          <w:spacing w:val="0"/>
          <w:kern w:val="0"/>
          <w:sz w:val="32"/>
          <w:szCs w:val="32"/>
          <w:shd w:val="clear" w:fill="FFFFFF"/>
          <w:lang w:val="en" w:eastAsia="zh-CN"/>
        </w:rPr>
        <w:t>56.12</w:t>
      </w:r>
      <w:r>
        <w:rPr>
          <w:rFonts w:hint="eastAsia" w:ascii="仿宋_GB2312" w:hAnsi="仿宋_GB2312" w:eastAsia="仿宋_GB2312" w:cs="仿宋_GB2312"/>
          <w:bCs/>
          <w:caps w:val="0"/>
          <w:color w:val="auto"/>
          <w:spacing w:val="0"/>
          <w:kern w:val="0"/>
          <w:sz w:val="32"/>
          <w:szCs w:val="32"/>
          <w:shd w:val="clear" w:fill="FFFFFF"/>
          <w:lang w:val="en-US" w:eastAsia="zh-CN"/>
        </w:rPr>
        <w:t>万元，全国自然灾害风险普查支出</w:t>
      </w:r>
      <w:r>
        <w:rPr>
          <w:rFonts w:hint="default" w:ascii="仿宋_GB2312" w:hAnsi="仿宋_GB2312" w:eastAsia="仿宋_GB2312" w:cs="仿宋_GB2312"/>
          <w:bCs/>
          <w:caps w:val="0"/>
          <w:color w:val="auto"/>
          <w:spacing w:val="0"/>
          <w:kern w:val="0"/>
          <w:sz w:val="32"/>
          <w:szCs w:val="32"/>
          <w:shd w:val="clear" w:fill="FFFFFF"/>
          <w:lang w:val="en" w:eastAsia="zh-CN"/>
        </w:rPr>
        <w:t>14.94</w:t>
      </w:r>
      <w:r>
        <w:rPr>
          <w:rFonts w:hint="eastAsia" w:ascii="仿宋_GB2312" w:hAnsi="仿宋_GB2312" w:eastAsia="仿宋_GB2312" w:cs="仿宋_GB2312"/>
          <w:bCs/>
          <w:caps w:val="0"/>
          <w:color w:val="auto"/>
          <w:spacing w:val="0"/>
          <w:kern w:val="0"/>
          <w:sz w:val="32"/>
          <w:szCs w:val="32"/>
          <w:shd w:val="clear" w:fill="FFFFFF"/>
          <w:lang w:val="en-US" w:eastAsia="zh-CN"/>
        </w:rPr>
        <w:t>万元，石下江煤矿维稳支出576万元，应急信息化平台支出</w:t>
      </w:r>
      <w:r>
        <w:rPr>
          <w:rFonts w:hint="default" w:ascii="仿宋_GB2312" w:hAnsi="仿宋_GB2312" w:eastAsia="仿宋_GB2312" w:cs="仿宋_GB2312"/>
          <w:bCs/>
          <w:caps w:val="0"/>
          <w:color w:val="auto"/>
          <w:spacing w:val="0"/>
          <w:kern w:val="0"/>
          <w:sz w:val="32"/>
          <w:szCs w:val="32"/>
          <w:shd w:val="clear" w:fill="FFFFFF"/>
          <w:lang w:val="en" w:eastAsia="zh-CN"/>
        </w:rPr>
        <w:t>225.47</w:t>
      </w:r>
      <w:r>
        <w:rPr>
          <w:rFonts w:hint="eastAsia" w:ascii="仿宋_GB2312" w:hAnsi="仿宋_GB2312" w:eastAsia="仿宋_GB2312" w:cs="仿宋_GB2312"/>
          <w:bCs/>
          <w:caps w:val="0"/>
          <w:color w:val="auto"/>
          <w:spacing w:val="0"/>
          <w:kern w:val="0"/>
          <w:sz w:val="32"/>
          <w:szCs w:val="32"/>
          <w:shd w:val="clear" w:fill="FFFFFF"/>
          <w:lang w:val="en-US" w:eastAsia="zh-CN"/>
        </w:rPr>
        <w:t>万元，两市塘煤矿抚恤费支出</w:t>
      </w:r>
      <w:r>
        <w:rPr>
          <w:rFonts w:hint="default" w:ascii="仿宋_GB2312" w:hAnsi="仿宋_GB2312" w:eastAsia="仿宋_GB2312" w:cs="仿宋_GB2312"/>
          <w:bCs/>
          <w:caps w:val="0"/>
          <w:color w:val="auto"/>
          <w:spacing w:val="0"/>
          <w:kern w:val="0"/>
          <w:sz w:val="32"/>
          <w:szCs w:val="32"/>
          <w:shd w:val="clear" w:fill="FFFFFF"/>
          <w:lang w:val="en" w:eastAsia="zh-CN"/>
        </w:rPr>
        <w:t>96.78</w:t>
      </w:r>
      <w:r>
        <w:rPr>
          <w:rFonts w:hint="eastAsia" w:ascii="仿宋_GB2312" w:hAnsi="仿宋_GB2312" w:eastAsia="仿宋_GB2312" w:cs="仿宋_GB2312"/>
          <w:bCs/>
          <w:caps w:val="0"/>
          <w:color w:val="auto"/>
          <w:spacing w:val="0"/>
          <w:kern w:val="0"/>
          <w:sz w:val="32"/>
          <w:szCs w:val="32"/>
          <w:shd w:val="clear" w:fill="FFFFFF"/>
          <w:lang w:val="en-US" w:eastAsia="zh-CN"/>
        </w:rPr>
        <w:t>万元，防汛防火支出</w:t>
      </w:r>
      <w:r>
        <w:rPr>
          <w:rFonts w:hint="default" w:ascii="仿宋_GB2312" w:hAnsi="仿宋_GB2312" w:eastAsia="仿宋_GB2312" w:cs="仿宋_GB2312"/>
          <w:bCs/>
          <w:caps w:val="0"/>
          <w:color w:val="auto"/>
          <w:spacing w:val="0"/>
          <w:kern w:val="0"/>
          <w:sz w:val="32"/>
          <w:szCs w:val="32"/>
          <w:shd w:val="clear" w:fill="FFFFFF"/>
          <w:lang w:val="en" w:eastAsia="zh-CN"/>
        </w:rPr>
        <w:t>9.48</w:t>
      </w:r>
      <w:r>
        <w:rPr>
          <w:rFonts w:hint="eastAsia" w:ascii="仿宋_GB2312" w:hAnsi="仿宋_GB2312" w:eastAsia="仿宋_GB2312" w:cs="仿宋_GB2312"/>
          <w:bCs/>
          <w:caps w:val="0"/>
          <w:color w:val="auto"/>
          <w:spacing w:val="0"/>
          <w:kern w:val="0"/>
          <w:sz w:val="32"/>
          <w:szCs w:val="32"/>
          <w:shd w:val="clear" w:fill="FFFFFF"/>
          <w:lang w:val="en-US" w:eastAsia="zh-CN"/>
        </w:rPr>
        <w:t>万元，行政性事业收费</w:t>
      </w:r>
      <w:r>
        <w:rPr>
          <w:rFonts w:hint="default" w:ascii="仿宋_GB2312" w:hAnsi="仿宋_GB2312" w:eastAsia="仿宋_GB2312" w:cs="仿宋_GB2312"/>
          <w:bCs/>
          <w:caps w:val="0"/>
          <w:color w:val="auto"/>
          <w:spacing w:val="0"/>
          <w:kern w:val="0"/>
          <w:sz w:val="32"/>
          <w:szCs w:val="32"/>
          <w:shd w:val="clear" w:fill="FFFFFF"/>
          <w:lang w:val="en" w:eastAsia="zh-CN"/>
        </w:rPr>
        <w:t>105.49</w:t>
      </w:r>
      <w:r>
        <w:rPr>
          <w:rFonts w:hint="eastAsia" w:ascii="仿宋_GB2312" w:hAnsi="仿宋_GB2312" w:eastAsia="仿宋_GB2312" w:cs="仿宋_GB2312"/>
          <w:bCs/>
          <w:caps w:val="0"/>
          <w:color w:val="auto"/>
          <w:spacing w:val="0"/>
          <w:kern w:val="0"/>
          <w:sz w:val="32"/>
          <w:szCs w:val="32"/>
          <w:shd w:val="clear" w:fill="FFFFFF"/>
          <w:lang w:val="en-US" w:eastAsia="zh-CN"/>
        </w:rPr>
        <w:t>万元</w:t>
      </w:r>
      <w:r>
        <w:rPr>
          <w:rFonts w:hint="eastAsia" w:ascii="仿宋_GB2312" w:hAnsi="仿宋_GB2312" w:eastAsia="仿宋_GB2312" w:cs="仿宋_GB2312"/>
          <w:bCs/>
          <w:caps w:val="0"/>
          <w:color w:val="auto"/>
          <w:spacing w:val="0"/>
          <w:kern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aps w:val="0"/>
          <w:color w:val="auto"/>
          <w:spacing w:val="0"/>
          <w:kern w:val="0"/>
          <w:sz w:val="32"/>
          <w:szCs w:val="32"/>
          <w:shd w:val="clear" w:fill="FFFFFF"/>
        </w:rPr>
        <w:t>3.根据我局制定的《财务管理制度》、《财务审批制度》、《三重一大集体决策制度》</w:t>
      </w:r>
      <w:r>
        <w:rPr>
          <w:rFonts w:hint="eastAsia" w:ascii="仿宋_GB2312" w:hAnsi="仿宋_GB2312" w:eastAsia="仿宋_GB2312" w:cs="仿宋_GB2312"/>
          <w:bCs/>
          <w:caps w:val="0"/>
          <w:color w:val="auto"/>
          <w:spacing w:val="0"/>
          <w:kern w:val="0"/>
          <w:sz w:val="32"/>
          <w:szCs w:val="32"/>
          <w:shd w:val="clear" w:fill="FFFFFF"/>
          <w:lang w:eastAsia="zh-CN"/>
        </w:rPr>
        <w:t>和《内部控制制度》</w:t>
      </w:r>
      <w:r>
        <w:rPr>
          <w:rFonts w:hint="eastAsia" w:ascii="仿宋_GB2312" w:hAnsi="仿宋_GB2312" w:eastAsia="仿宋_GB2312" w:cs="仿宋_GB2312"/>
          <w:bCs/>
          <w:caps w:val="0"/>
          <w:color w:val="auto"/>
          <w:spacing w:val="0"/>
          <w:kern w:val="0"/>
          <w:sz w:val="32"/>
          <w:szCs w:val="32"/>
          <w:shd w:val="clear" w:fill="FFFFFF"/>
        </w:rPr>
        <w:t>及邵阳市人民政府办公室关于印发《邵阳市本级财政专项资金管理办法》的通知（市政办发〔2015〕4号）文件要求，我局严格执行财务</w:t>
      </w:r>
      <w:r>
        <w:rPr>
          <w:rFonts w:hint="eastAsia" w:ascii="仿宋_GB2312" w:hAnsi="仿宋_GB2312" w:eastAsia="仿宋_GB2312" w:cs="仿宋_GB2312"/>
          <w:bCs/>
          <w:caps w:val="0"/>
          <w:color w:val="auto"/>
          <w:spacing w:val="0"/>
          <w:kern w:val="0"/>
          <w:sz w:val="32"/>
          <w:szCs w:val="32"/>
          <w:shd w:val="clear" w:fill="FFFFFF"/>
          <w:lang w:eastAsia="zh-CN"/>
        </w:rPr>
        <w:t>与内控</w:t>
      </w:r>
      <w:r>
        <w:rPr>
          <w:rFonts w:hint="eastAsia" w:ascii="仿宋_GB2312" w:hAnsi="仿宋_GB2312" w:eastAsia="仿宋_GB2312" w:cs="仿宋_GB2312"/>
          <w:bCs/>
          <w:caps w:val="0"/>
          <w:color w:val="auto"/>
          <w:spacing w:val="0"/>
          <w:kern w:val="0"/>
          <w:sz w:val="32"/>
          <w:szCs w:val="32"/>
          <w:shd w:val="clear" w:fill="FFFFFF"/>
        </w:rPr>
        <w:t>规章制度，</w:t>
      </w:r>
      <w:r>
        <w:rPr>
          <w:rFonts w:hint="eastAsia" w:ascii="仿宋_GB2312" w:hAnsi="仿宋_GB2312" w:eastAsia="仿宋_GB2312" w:cs="仿宋_GB2312"/>
          <w:bCs/>
          <w:caps w:val="0"/>
          <w:color w:val="auto"/>
          <w:spacing w:val="0"/>
          <w:kern w:val="0"/>
          <w:sz w:val="32"/>
          <w:szCs w:val="32"/>
          <w:shd w:val="clear" w:fill="FFFFFF"/>
          <w:lang w:eastAsia="zh-CN"/>
        </w:rPr>
        <w:t>单项采购</w:t>
      </w:r>
      <w:r>
        <w:rPr>
          <w:rFonts w:hint="eastAsia" w:ascii="仿宋_GB2312" w:hAnsi="仿宋_GB2312" w:eastAsia="仿宋_GB2312" w:cs="仿宋_GB2312"/>
          <w:bCs/>
          <w:caps w:val="0"/>
          <w:color w:val="auto"/>
          <w:spacing w:val="0"/>
          <w:kern w:val="0"/>
          <w:sz w:val="32"/>
          <w:szCs w:val="32"/>
          <w:shd w:val="clear" w:fill="FFFFFF"/>
          <w:lang w:val="en-US" w:eastAsia="zh-CN"/>
        </w:rPr>
        <w:t>5千元以下的支出项目需报部门分管领导审批，5千元以上5万元以下的支出项目需局长审签，5万元以上限额标准以下的支出项目</w:t>
      </w:r>
      <w:r>
        <w:rPr>
          <w:rFonts w:hint="eastAsia" w:ascii="仿宋_GB2312" w:hAnsi="仿宋_GB2312" w:eastAsia="仿宋_GB2312" w:cs="仿宋_GB2312"/>
          <w:bCs/>
          <w:caps w:val="0"/>
          <w:color w:val="auto"/>
          <w:spacing w:val="0"/>
          <w:kern w:val="0"/>
          <w:sz w:val="32"/>
          <w:szCs w:val="32"/>
          <w:shd w:val="clear" w:fill="FFFFFF"/>
        </w:rPr>
        <w:t>需经</w:t>
      </w:r>
      <w:r>
        <w:rPr>
          <w:rFonts w:hint="eastAsia" w:ascii="仿宋_GB2312" w:hAnsi="仿宋_GB2312" w:eastAsia="仿宋_GB2312" w:cs="仿宋_GB2312"/>
          <w:bCs/>
          <w:caps w:val="0"/>
          <w:color w:val="auto"/>
          <w:spacing w:val="0"/>
          <w:kern w:val="0"/>
          <w:sz w:val="32"/>
          <w:szCs w:val="32"/>
          <w:shd w:val="clear" w:fill="FFFFFF"/>
          <w:lang w:eastAsia="zh-CN"/>
        </w:rPr>
        <w:t>党委会</w:t>
      </w:r>
      <w:r>
        <w:rPr>
          <w:rFonts w:hint="eastAsia" w:ascii="仿宋_GB2312" w:hAnsi="仿宋_GB2312" w:eastAsia="仿宋_GB2312" w:cs="仿宋_GB2312"/>
          <w:bCs/>
          <w:caps w:val="0"/>
          <w:color w:val="auto"/>
          <w:spacing w:val="0"/>
          <w:kern w:val="0"/>
          <w:sz w:val="32"/>
          <w:szCs w:val="32"/>
          <w:shd w:val="clear" w:fill="FFFFFF"/>
        </w:rPr>
        <w:t>集体讨论研究决定，</w:t>
      </w:r>
      <w:r>
        <w:rPr>
          <w:rFonts w:hint="eastAsia" w:ascii="仿宋_GB2312" w:hAnsi="仿宋_GB2312" w:eastAsia="仿宋_GB2312" w:cs="仿宋_GB2312"/>
          <w:bCs/>
          <w:caps w:val="0"/>
          <w:color w:val="auto"/>
          <w:spacing w:val="0"/>
          <w:kern w:val="0"/>
          <w:sz w:val="32"/>
          <w:szCs w:val="32"/>
          <w:shd w:val="clear" w:fill="FFFFFF"/>
          <w:lang w:eastAsia="zh-CN"/>
        </w:rPr>
        <w:t>单项采购</w:t>
      </w:r>
      <w:r>
        <w:rPr>
          <w:rFonts w:hint="eastAsia" w:ascii="仿宋_GB2312" w:hAnsi="仿宋_GB2312" w:eastAsia="仿宋_GB2312" w:cs="仿宋_GB2312"/>
          <w:bCs/>
          <w:caps w:val="0"/>
          <w:color w:val="auto"/>
          <w:spacing w:val="0"/>
          <w:kern w:val="0"/>
          <w:sz w:val="32"/>
          <w:szCs w:val="32"/>
          <w:shd w:val="clear" w:fill="FFFFFF"/>
        </w:rPr>
        <w:t>采购限额标准以上</w:t>
      </w:r>
      <w:r>
        <w:rPr>
          <w:rFonts w:hint="eastAsia" w:ascii="仿宋_GB2312" w:hAnsi="仿宋_GB2312" w:eastAsia="仿宋_GB2312" w:cs="仿宋_GB2312"/>
          <w:bCs/>
          <w:caps w:val="0"/>
          <w:color w:val="auto"/>
          <w:spacing w:val="0"/>
          <w:kern w:val="0"/>
          <w:sz w:val="32"/>
          <w:szCs w:val="32"/>
          <w:shd w:val="clear" w:fill="FFFFFF"/>
          <w:lang w:eastAsia="zh-CN"/>
        </w:rPr>
        <w:t>的支出项目除需党委会谈论研究审定外，严格按照政府采购相关文件要求，走政府采购流程并向财政局报备，</w:t>
      </w:r>
      <w:r>
        <w:rPr>
          <w:rFonts w:hint="eastAsia" w:ascii="仿宋_GB2312" w:hAnsi="仿宋_GB2312" w:eastAsia="仿宋_GB2312" w:cs="仿宋_GB2312"/>
          <w:bCs/>
          <w:caps w:val="0"/>
          <w:color w:val="auto"/>
          <w:spacing w:val="0"/>
          <w:kern w:val="0"/>
          <w:sz w:val="32"/>
          <w:szCs w:val="32"/>
          <w:shd w:val="clear" w:fill="FFFFFF"/>
        </w:rPr>
        <w:t>严格按照专款专用确保每笔款项用到实处。</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Cs/>
          <w:caps w:val="0"/>
          <w:color w:val="auto"/>
          <w:spacing w:val="0"/>
          <w:kern w:val="0"/>
          <w:sz w:val="32"/>
          <w:szCs w:val="32"/>
          <w:shd w:val="clear" w:fill="FFFFFF"/>
        </w:rPr>
      </w:pPr>
      <w:r>
        <w:rPr>
          <w:rFonts w:hint="eastAsia" w:ascii="黑体" w:hAnsi="宋体" w:eastAsia="黑体" w:cs="黑体"/>
          <w:bCs/>
          <w:color w:val="auto"/>
          <w:kern w:val="2"/>
          <w:sz w:val="32"/>
          <w:szCs w:val="32"/>
          <w:lang w:val="en-US" w:eastAsia="zh-CN" w:bidi="ar"/>
        </w:rPr>
        <w:t>三、资产管理情况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aps w:val="0"/>
          <w:color w:val="auto"/>
          <w:spacing w:val="0"/>
          <w:kern w:val="0"/>
          <w:sz w:val="32"/>
          <w:szCs w:val="32"/>
          <w:shd w:val="clear" w:fill="FFFFFF"/>
        </w:rPr>
        <w:t>我局的资产主要包括土地房屋及建筑物、车辆、电脑、打印机、传真机、复印机、办公桌椅、空调、电视机等。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spacing w:before="0" w:beforeAutospacing="0" w:after="0" w:afterAutospacing="0" w:line="560" w:lineRule="exact"/>
        <w:ind w:left="0" w:right="0" w:firstLine="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aps w:val="0"/>
          <w:color w:val="auto"/>
          <w:spacing w:val="0"/>
          <w:kern w:val="0"/>
          <w:sz w:val="32"/>
          <w:szCs w:val="32"/>
          <w:shd w:val="clear" w:fill="FFFFFF"/>
        </w:rPr>
        <w:t>根据《邵阳市应急管理局资产管理制度》的规定，固定资产采购必须按制度执行，由局办公室和财务统计科负责，政府集中采购目录及限额以上的采购项目严格按照采购程序报批。日常办公用品坚持按照“统一管理、按需分配、责任到人、物尽其用”的原则，由办公室统一调配，建立台帐，所有固定资产都登记入账，填制实物登记卡片，做到帐卡相符，帐物相符。建立健全财产损坏、损失赔偿制度，对因管理使用不善造成损坏、损失的，要追究管理、使用人员责任，区别情况作出处理。年底对固定资产进行一次全面清查，核准数量，及时作好固定资产价值的增减处理，对盈亏要查明原因，进行认真分析，及时向局</w:t>
      </w:r>
      <w:r>
        <w:rPr>
          <w:rFonts w:hint="eastAsia" w:ascii="仿宋_GB2312" w:hAnsi="仿宋_GB2312" w:eastAsia="仿宋_GB2312" w:cs="仿宋_GB2312"/>
          <w:bCs/>
          <w:caps w:val="0"/>
          <w:color w:val="auto"/>
          <w:spacing w:val="0"/>
          <w:kern w:val="0"/>
          <w:sz w:val="32"/>
          <w:szCs w:val="32"/>
          <w:shd w:val="clear" w:fill="FFFFFF"/>
          <w:lang w:eastAsia="zh-CN"/>
        </w:rPr>
        <w:t>党委会</w:t>
      </w:r>
      <w:r>
        <w:rPr>
          <w:rFonts w:hint="eastAsia" w:ascii="仿宋_GB2312" w:hAnsi="仿宋_GB2312" w:eastAsia="仿宋_GB2312" w:cs="仿宋_GB2312"/>
          <w:bCs/>
          <w:caps w:val="0"/>
          <w:color w:val="auto"/>
          <w:spacing w:val="0"/>
          <w:kern w:val="0"/>
          <w:sz w:val="32"/>
          <w:szCs w:val="32"/>
          <w:shd w:val="clear" w:fill="FFFFFF"/>
        </w:rPr>
        <w:t>报告。</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color w:val="auto"/>
        </w:rPr>
      </w:pPr>
      <w:r>
        <w:rPr>
          <w:rFonts w:hint="eastAsia" w:ascii="Calibri" w:hAnsi="Calibri" w:eastAsia="黑体" w:cs="Times New Roman"/>
          <w:bCs/>
          <w:color w:val="auto"/>
          <w:kern w:val="2"/>
          <w:sz w:val="32"/>
          <w:szCs w:val="32"/>
          <w:lang w:val="en-US" w:eastAsia="zh-CN" w:bidi="ar"/>
        </w:rPr>
        <w:t>四、</w:t>
      </w:r>
      <w:r>
        <w:rPr>
          <w:rFonts w:hint="eastAsia" w:ascii="黑体" w:hAnsi="宋体" w:eastAsia="黑体" w:cs="黑体"/>
          <w:bCs/>
          <w:color w:val="auto"/>
          <w:kern w:val="2"/>
          <w:sz w:val="32"/>
          <w:szCs w:val="32"/>
          <w:lang w:val="en-US" w:eastAsia="zh-CN" w:bidi="ar"/>
        </w:rPr>
        <w:t>绩效评价工作情况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aps w:val="0"/>
          <w:color w:val="auto"/>
          <w:spacing w:val="0"/>
          <w:kern w:val="0"/>
          <w:sz w:val="32"/>
          <w:szCs w:val="32"/>
          <w:shd w:val="clear" w:fill="FFFFFF"/>
        </w:rPr>
        <w:t>根据</w:t>
      </w:r>
      <w:r>
        <w:rPr>
          <w:rFonts w:hint="eastAsia" w:ascii="仿宋_GB2312" w:hAnsi="仿宋_GB2312" w:eastAsia="仿宋_GB2312" w:cs="仿宋_GB2312"/>
          <w:bCs/>
          <w:caps w:val="0"/>
          <w:color w:val="auto"/>
          <w:spacing w:val="0"/>
          <w:kern w:val="0"/>
          <w:sz w:val="32"/>
          <w:szCs w:val="32"/>
          <w:shd w:val="clear" w:fill="FFFFFF"/>
          <w:lang w:eastAsia="zh-CN"/>
        </w:rPr>
        <w:t>市财政局要求，</w:t>
      </w:r>
      <w:r>
        <w:rPr>
          <w:rFonts w:hint="eastAsia" w:ascii="仿宋_GB2312" w:hAnsi="仿宋_GB2312" w:eastAsia="仿宋_GB2312" w:cs="仿宋_GB2312"/>
          <w:bCs/>
          <w:caps w:val="0"/>
          <w:color w:val="auto"/>
          <w:spacing w:val="0"/>
          <w:kern w:val="0"/>
          <w:sz w:val="32"/>
          <w:szCs w:val="32"/>
          <w:shd w:val="clear" w:fill="FFFFFF"/>
        </w:rPr>
        <w:t>我局对本单位的预算执行、预算管理、资产管理、绩效管理、职责履行、履职效益等方面进行了自评，形成该评价结论。</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left"/>
        <w:textAlignment w:val="auto"/>
        <w:rPr>
          <w:color w:val="auto"/>
        </w:rPr>
      </w:pPr>
      <w:r>
        <w:rPr>
          <w:rFonts w:hint="eastAsia" w:ascii="Calibri" w:hAnsi="Calibri" w:eastAsia="黑体" w:cs="Times New Roman"/>
          <w:bCs/>
          <w:color w:val="auto"/>
          <w:kern w:val="2"/>
          <w:sz w:val="32"/>
          <w:szCs w:val="32"/>
          <w:lang w:val="en-US" w:eastAsia="zh-CN" w:bidi="ar"/>
        </w:rPr>
        <w:t>五、</w:t>
      </w:r>
      <w:r>
        <w:rPr>
          <w:rFonts w:hint="eastAsia" w:ascii="黑体" w:hAnsi="宋体" w:eastAsia="黑体" w:cs="黑体"/>
          <w:bCs/>
          <w:color w:val="auto"/>
          <w:kern w:val="2"/>
          <w:sz w:val="32"/>
          <w:szCs w:val="32"/>
          <w:lang w:val="en-US" w:eastAsia="zh-CN" w:bidi="ar"/>
        </w:rPr>
        <w:t>综合评价情况及评价结论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aps w:val="0"/>
          <w:color w:val="auto"/>
          <w:spacing w:val="0"/>
          <w:kern w:val="0"/>
          <w:sz w:val="32"/>
          <w:szCs w:val="32"/>
          <w:shd w:val="clear" w:fill="FFFFFF"/>
        </w:rPr>
        <w:t>能够按照国家的法律法规加强预算管理，</w:t>
      </w:r>
      <w:r>
        <w:rPr>
          <w:rFonts w:hint="eastAsia" w:ascii="仿宋_GB2312" w:hAnsi="仿宋_GB2312" w:eastAsia="仿宋_GB2312" w:cs="仿宋_GB2312"/>
          <w:bCs/>
          <w:caps w:val="0"/>
          <w:color w:val="auto"/>
          <w:spacing w:val="0"/>
          <w:kern w:val="0"/>
          <w:sz w:val="32"/>
          <w:szCs w:val="32"/>
          <w:shd w:val="clear" w:fill="FFFFFF"/>
          <w:lang w:eastAsia="zh-CN"/>
        </w:rPr>
        <w:t>建立健全</w:t>
      </w:r>
      <w:r>
        <w:rPr>
          <w:rFonts w:hint="eastAsia" w:ascii="仿宋_GB2312" w:hAnsi="仿宋_GB2312" w:eastAsia="仿宋_GB2312" w:cs="仿宋_GB2312"/>
          <w:bCs/>
          <w:caps w:val="0"/>
          <w:color w:val="auto"/>
          <w:spacing w:val="0"/>
          <w:kern w:val="0"/>
          <w:sz w:val="32"/>
          <w:szCs w:val="32"/>
          <w:shd w:val="clear" w:fill="FFFFFF"/>
        </w:rPr>
        <w:t>内控制度，取得了较好的执行效果，认真完成了</w:t>
      </w:r>
      <w:r>
        <w:rPr>
          <w:rFonts w:hint="eastAsia" w:ascii="仿宋_GB2312" w:hAnsi="仿宋_GB2312" w:eastAsia="仿宋_GB2312" w:cs="仿宋_GB2312"/>
          <w:bCs/>
          <w:caps w:val="0"/>
          <w:color w:val="auto"/>
          <w:spacing w:val="0"/>
          <w:kern w:val="0"/>
          <w:sz w:val="32"/>
          <w:szCs w:val="32"/>
          <w:shd w:val="clear" w:fill="FFFFFF"/>
          <w:lang w:val="en"/>
        </w:rPr>
        <w:t>202</w:t>
      </w:r>
      <w:r>
        <w:rPr>
          <w:rFonts w:hint="eastAsia" w:ascii="仿宋_GB2312" w:hAnsi="仿宋_GB2312" w:eastAsia="仿宋_GB2312" w:cs="仿宋_GB2312"/>
          <w:bCs/>
          <w:caps w:val="0"/>
          <w:color w:val="auto"/>
          <w:spacing w:val="0"/>
          <w:kern w:val="0"/>
          <w:sz w:val="32"/>
          <w:szCs w:val="32"/>
          <w:shd w:val="clear" w:fill="FFFFFF"/>
          <w:lang w:val="en-US" w:eastAsia="zh-CN"/>
        </w:rPr>
        <w:t>2</w:t>
      </w:r>
      <w:r>
        <w:rPr>
          <w:rFonts w:hint="eastAsia" w:ascii="仿宋_GB2312" w:hAnsi="仿宋_GB2312" w:eastAsia="仿宋_GB2312" w:cs="仿宋_GB2312"/>
          <w:bCs/>
          <w:caps w:val="0"/>
          <w:color w:val="auto"/>
          <w:spacing w:val="0"/>
          <w:kern w:val="0"/>
          <w:sz w:val="32"/>
          <w:szCs w:val="32"/>
          <w:shd w:val="clear" w:fill="FFFFFF"/>
        </w:rPr>
        <w:t>年度的预算和决算工作，财务管理和会计基础工作日益完善。但仍存在部门预算编制不太科学、不太精准，预算管理欠规范等问题，须在今后的工作中加以改进。</w:t>
      </w:r>
      <w:r>
        <w:rPr>
          <w:rFonts w:hint="eastAsia" w:ascii="仿宋_GB2312" w:hAnsi="仿宋_GB2312" w:eastAsia="仿宋_GB2312" w:cs="仿宋_GB2312"/>
          <w:bCs/>
          <w:caps w:val="0"/>
          <w:color w:val="auto"/>
          <w:spacing w:val="0"/>
          <w:kern w:val="0"/>
          <w:sz w:val="32"/>
          <w:szCs w:val="32"/>
          <w:shd w:val="clear" w:fill="FFFFFF"/>
          <w:lang w:val="en"/>
        </w:rPr>
        <w:t>202</w:t>
      </w:r>
      <w:r>
        <w:rPr>
          <w:rFonts w:hint="eastAsia" w:ascii="仿宋_GB2312" w:hAnsi="仿宋_GB2312" w:eastAsia="仿宋_GB2312" w:cs="仿宋_GB2312"/>
          <w:bCs/>
          <w:caps w:val="0"/>
          <w:color w:val="auto"/>
          <w:spacing w:val="0"/>
          <w:kern w:val="0"/>
          <w:sz w:val="32"/>
          <w:szCs w:val="32"/>
          <w:shd w:val="clear" w:fill="FFFFFF"/>
          <w:lang w:val="en-US" w:eastAsia="zh-CN"/>
        </w:rPr>
        <w:t>2</w:t>
      </w:r>
      <w:r>
        <w:rPr>
          <w:rFonts w:hint="eastAsia" w:ascii="仿宋_GB2312" w:hAnsi="仿宋_GB2312" w:eastAsia="仿宋_GB2312" w:cs="仿宋_GB2312"/>
          <w:bCs/>
          <w:caps w:val="0"/>
          <w:color w:val="auto"/>
          <w:spacing w:val="0"/>
          <w:kern w:val="0"/>
          <w:sz w:val="32"/>
          <w:szCs w:val="32"/>
          <w:shd w:val="clear" w:fill="FFFFFF"/>
        </w:rPr>
        <w:t>年部门整体支出绩效评价指标评分为</w:t>
      </w:r>
      <w:r>
        <w:rPr>
          <w:rFonts w:hint="eastAsia" w:ascii="仿宋_GB2312" w:hAnsi="仿宋_GB2312" w:eastAsia="仿宋_GB2312" w:cs="仿宋_GB2312"/>
          <w:bCs/>
          <w:caps w:val="0"/>
          <w:color w:val="auto"/>
          <w:spacing w:val="0"/>
          <w:kern w:val="0"/>
          <w:sz w:val="32"/>
          <w:szCs w:val="32"/>
          <w:shd w:val="clear" w:fill="FFFFFF"/>
          <w:lang w:val="en-US" w:eastAsia="zh-CN"/>
        </w:rPr>
        <w:t>100</w:t>
      </w:r>
      <w:r>
        <w:rPr>
          <w:rFonts w:hint="eastAsia" w:ascii="仿宋_GB2312" w:hAnsi="仿宋_GB2312" w:eastAsia="仿宋_GB2312" w:cs="仿宋_GB2312"/>
          <w:bCs/>
          <w:caps w:val="0"/>
          <w:color w:val="auto"/>
          <w:spacing w:val="0"/>
          <w:kern w:val="0"/>
          <w:sz w:val="32"/>
          <w:szCs w:val="32"/>
          <w:shd w:val="clear" w:fill="FFFFFF"/>
        </w:rPr>
        <w:t>分。</w:t>
      </w:r>
    </w:p>
    <w:p>
      <w:pPr>
        <w:keepNext w:val="0"/>
        <w:keepLines w:val="0"/>
        <w:pageBreakBefore w:val="0"/>
        <w:widowControl/>
        <w:numPr>
          <w:ilvl w:val="0"/>
          <w:numId w:val="1"/>
        </w:numPr>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left"/>
        <w:textAlignment w:val="auto"/>
        <w:rPr>
          <w:rFonts w:hint="eastAsia" w:ascii="黑体" w:hAnsi="宋体" w:eastAsia="黑体" w:cs="黑体"/>
          <w:bCs/>
          <w:color w:val="auto"/>
          <w:kern w:val="2"/>
          <w:sz w:val="32"/>
          <w:szCs w:val="32"/>
          <w:lang w:val="en-US" w:eastAsia="zh-CN" w:bidi="ar"/>
        </w:rPr>
      </w:pPr>
      <w:r>
        <w:rPr>
          <w:rFonts w:hint="eastAsia" w:ascii="黑体" w:hAnsi="宋体" w:eastAsia="黑体" w:cs="黑体"/>
          <w:bCs/>
          <w:color w:val="auto"/>
          <w:kern w:val="2"/>
          <w:sz w:val="32"/>
          <w:szCs w:val="32"/>
          <w:lang w:val="en-US" w:eastAsia="zh-CN" w:bidi="ar"/>
        </w:rPr>
        <w:t>部门整体支出主要绩效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宋体" w:eastAsia="黑体" w:cs="黑体"/>
          <w:bCs/>
          <w:color w:val="auto"/>
          <w:kern w:val="2"/>
          <w:sz w:val="32"/>
          <w:szCs w:val="32"/>
          <w:lang w:val="en-US" w:eastAsia="zh-CN" w:bidi="ar"/>
        </w:rPr>
      </w:pPr>
      <w:r>
        <w:rPr>
          <w:rFonts w:hint="eastAsia" w:ascii="仿宋_GB2312" w:hAnsi="仿宋_GB2312" w:eastAsia="仿宋_GB2312" w:cs="仿宋_GB2312"/>
          <w:color w:val="auto"/>
          <w:sz w:val="32"/>
          <w:szCs w:val="32"/>
          <w:lang w:val="en-US" w:eastAsia="zh-CN"/>
        </w:rPr>
        <w:t>2022年</w:t>
      </w:r>
      <w:r>
        <w:rPr>
          <w:rFonts w:hint="eastAsia" w:ascii="仿宋_GB2312" w:hAnsi="仿宋_GB2312" w:eastAsia="仿宋_GB2312" w:cs="仿宋_GB2312"/>
          <w:color w:val="auto"/>
          <w:sz w:val="32"/>
          <w:szCs w:val="32"/>
          <w:lang w:eastAsia="zh-CN"/>
        </w:rPr>
        <w:t>，全市共发生生产安全事故64起、死亡63人（其中较大生产安全事故1起，死亡3人），同比分别下降37.9%、37.0% ，事故起数及死亡人数同比实现“双下降”。发生一次死亡3人以上的非生产经营性事故数量同比下降87.5％。</w:t>
      </w:r>
      <w:r>
        <w:rPr>
          <w:rFonts w:hint="eastAsia" w:ascii="仿宋_GB2312" w:hAnsi="仿宋_GB2312" w:eastAsia="仿宋_GB2312" w:cs="仿宋_GB2312"/>
          <w:color w:val="auto"/>
          <w:sz w:val="32"/>
          <w:szCs w:val="32"/>
          <w:lang w:val="en-US" w:eastAsia="zh-CN"/>
        </w:rPr>
        <w:t>各项工作经省、市考核考评，获评全省应急管理工作先进单位；市县两级在全省应急管理系统“真抓实干”工作中共获奖9项。</w:t>
      </w:r>
    </w:p>
    <w:p>
      <w:pPr>
        <w:keepNext w:val="0"/>
        <w:keepLines w:val="0"/>
        <w:pageBreakBefore w:val="0"/>
        <w:widowControl/>
        <w:numPr>
          <w:ilvl w:val="0"/>
          <w:numId w:val="2"/>
        </w:numPr>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黑体" w:hAnsi="宋体" w:eastAsia="黑体" w:cs="黑体"/>
          <w:bCs/>
          <w:color w:val="auto"/>
          <w:kern w:val="2"/>
          <w:sz w:val="32"/>
          <w:szCs w:val="32"/>
          <w:lang w:val="en-US" w:eastAsia="zh-CN" w:bidi="ar"/>
        </w:rPr>
      </w:pPr>
      <w:r>
        <w:rPr>
          <w:rFonts w:hint="eastAsia" w:ascii="黑体" w:hAnsi="宋体" w:eastAsia="黑体" w:cs="黑体"/>
          <w:bCs/>
          <w:color w:val="auto"/>
          <w:kern w:val="2"/>
          <w:sz w:val="32"/>
          <w:szCs w:val="32"/>
          <w:lang w:val="en-US" w:eastAsia="zh-CN" w:bidi="ar"/>
        </w:rPr>
        <w:t>存在的问题及原因分析</w:t>
      </w:r>
    </w:p>
    <w:p>
      <w:pPr>
        <w:pStyle w:val="3"/>
        <w:keepNext w:val="0"/>
        <w:keepLines w:val="0"/>
        <w:pageBreakBefore w:val="0"/>
        <w:widowControl/>
        <w:suppressLineNumbers w:val="0"/>
        <w:kinsoku/>
        <w:wordWrap/>
        <w:overflowPunct/>
        <w:topLinePunct w:val="0"/>
        <w:autoSpaceDN/>
        <w:bidi w:val="0"/>
        <w:snapToGrid w:val="0"/>
        <w:spacing w:before="0" w:beforeAutospacing="0" w:after="0" w:afterLines="0" w:afterAutospacing="0" w:line="560" w:lineRule="exact"/>
        <w:ind w:left="0" w:right="0" w:firstLine="640"/>
        <w:textAlignment w:val="auto"/>
        <w:rPr>
          <w:rFonts w:hint="eastAsia" w:ascii="仿宋_GB2312" w:hAnsi="仿宋_GB2312" w:eastAsia="仿宋_GB2312" w:cs="仿宋_GB2312"/>
          <w:bCs/>
          <w:caps w:val="0"/>
          <w:color w:val="auto"/>
          <w:spacing w:val="0"/>
          <w:kern w:val="0"/>
          <w:sz w:val="32"/>
          <w:szCs w:val="32"/>
          <w:shd w:val="clear" w:fill="FFFFFF"/>
          <w:lang w:eastAsia="zh-CN"/>
        </w:rPr>
      </w:pPr>
      <w:r>
        <w:rPr>
          <w:rFonts w:hint="eastAsia" w:ascii="仿宋_GB2312" w:hAnsi="仿宋_GB2312" w:eastAsia="仿宋_GB2312" w:cs="仿宋_GB2312"/>
          <w:bCs/>
          <w:caps w:val="0"/>
          <w:color w:val="auto"/>
          <w:spacing w:val="0"/>
          <w:kern w:val="0"/>
          <w:sz w:val="32"/>
          <w:szCs w:val="32"/>
          <w:shd w:val="clear" w:fill="FFFFFF"/>
          <w:lang w:eastAsia="zh-CN"/>
        </w:rPr>
        <w:t>预算编制及执行存在偏差，预算执行率有待提高。年初预算与年末决算支出存在差异。主要原因是单位职能较多，工作任务繁重，应急项目增加，中央、省以及市项目经费指标有所追加，导致预算与决算不一致</w:t>
      </w:r>
      <w:bookmarkStart w:id="0" w:name="_GoBack"/>
      <w:bookmarkEnd w:id="0"/>
      <w:r>
        <w:rPr>
          <w:rFonts w:hint="eastAsia" w:ascii="仿宋_GB2312" w:hAnsi="仿宋_GB2312" w:eastAsia="仿宋_GB2312" w:cs="仿宋_GB2312"/>
          <w:bCs/>
          <w:caps w:val="0"/>
          <w:color w:val="auto"/>
          <w:spacing w:val="0"/>
          <w:kern w:val="0"/>
          <w:sz w:val="32"/>
          <w:szCs w:val="32"/>
          <w:shd w:val="clear" w:fill="FFFFFF"/>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color w:val="auto"/>
        </w:rPr>
      </w:pPr>
      <w:r>
        <w:rPr>
          <w:rFonts w:hint="eastAsia" w:ascii="黑体" w:hAnsi="宋体" w:eastAsia="黑体" w:cs="黑体"/>
          <w:bCs/>
          <w:color w:val="auto"/>
          <w:kern w:val="2"/>
          <w:sz w:val="32"/>
          <w:szCs w:val="32"/>
          <w:lang w:val="en-US" w:eastAsia="zh-CN" w:bidi="ar"/>
        </w:rPr>
        <w:t>八、改进措施和有关建议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aps w:val="0"/>
          <w:color w:val="auto"/>
          <w:spacing w:val="0"/>
          <w:kern w:val="0"/>
          <w:sz w:val="32"/>
          <w:szCs w:val="32"/>
          <w:shd w:val="clear" w:fill="FFFFFF"/>
        </w:rPr>
        <w:t>（一）做好</w:t>
      </w:r>
      <w:r>
        <w:rPr>
          <w:rFonts w:hint="eastAsia" w:ascii="仿宋_GB2312" w:hAnsi="仿宋_GB2312" w:eastAsia="仿宋_GB2312" w:cs="仿宋_GB2312"/>
          <w:bCs/>
          <w:caps w:val="0"/>
          <w:color w:val="auto"/>
          <w:spacing w:val="0"/>
          <w:kern w:val="0"/>
          <w:sz w:val="32"/>
          <w:szCs w:val="32"/>
          <w:shd w:val="clear" w:fill="FFFFFF"/>
          <w:lang w:eastAsia="zh-CN"/>
        </w:rPr>
        <w:t>年度</w:t>
      </w:r>
      <w:r>
        <w:rPr>
          <w:rFonts w:hint="eastAsia" w:ascii="仿宋_GB2312" w:hAnsi="仿宋_GB2312" w:eastAsia="仿宋_GB2312" w:cs="仿宋_GB2312"/>
          <w:bCs/>
          <w:caps w:val="0"/>
          <w:color w:val="auto"/>
          <w:spacing w:val="0"/>
          <w:kern w:val="0"/>
          <w:sz w:val="32"/>
          <w:szCs w:val="32"/>
          <w:shd w:val="clear" w:fill="FFFFFF"/>
        </w:rPr>
        <w:t>预算编制，规范资金管理，完善财务制度</w:t>
      </w:r>
      <w:r>
        <w:rPr>
          <w:rFonts w:hint="eastAsia" w:ascii="仿宋_GB2312" w:hAnsi="仿宋_GB2312" w:eastAsia="仿宋_GB2312" w:cs="仿宋_GB2312"/>
          <w:bCs/>
          <w:caps w:val="0"/>
          <w:color w:val="auto"/>
          <w:spacing w:val="0"/>
          <w:kern w:val="0"/>
          <w:sz w:val="32"/>
          <w:szCs w:val="32"/>
          <w:shd w:val="clear" w:fill="FFFFFF"/>
          <w:lang w:eastAsia="zh-CN"/>
        </w:rPr>
        <w:t>，强化预算执行</w:t>
      </w:r>
      <w:r>
        <w:rPr>
          <w:rFonts w:hint="eastAsia" w:ascii="仿宋_GB2312" w:hAnsi="仿宋_GB2312" w:eastAsia="仿宋_GB2312" w:cs="仿宋_GB2312"/>
          <w:bCs/>
          <w:caps w:val="0"/>
          <w:color w:val="auto"/>
          <w:spacing w:val="0"/>
          <w:kern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spacing w:before="0" w:beforeAutospacing="0" w:after="0" w:afterAutospacing="0" w:line="56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aps w:val="0"/>
          <w:color w:val="auto"/>
          <w:spacing w:val="0"/>
          <w:kern w:val="0"/>
          <w:sz w:val="32"/>
          <w:szCs w:val="32"/>
          <w:shd w:val="clear" w:fill="FFFFFF"/>
        </w:rPr>
        <w:t>（二）加强培训，提高财务人员的工作水平。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spacing w:before="0" w:beforeAutospacing="0" w:after="0" w:afterAutospacing="0" w:line="56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aps w:val="0"/>
          <w:color w:val="auto"/>
          <w:spacing w:val="0"/>
          <w:kern w:val="0"/>
          <w:sz w:val="32"/>
          <w:szCs w:val="32"/>
          <w:shd w:val="clear" w:fill="FFFFFF"/>
        </w:rPr>
        <w:t>（三）加强对二级机构财务</w:t>
      </w:r>
      <w:r>
        <w:rPr>
          <w:rFonts w:hint="eastAsia" w:ascii="仿宋_GB2312" w:hAnsi="仿宋_GB2312" w:eastAsia="仿宋_GB2312" w:cs="仿宋_GB2312"/>
          <w:bCs/>
          <w:caps w:val="0"/>
          <w:color w:val="auto"/>
          <w:spacing w:val="0"/>
          <w:kern w:val="0"/>
          <w:sz w:val="32"/>
          <w:szCs w:val="32"/>
          <w:shd w:val="clear" w:fill="FFFFFF"/>
          <w:lang w:eastAsia="zh-CN"/>
        </w:rPr>
        <w:t>管理工作</w:t>
      </w:r>
      <w:r>
        <w:rPr>
          <w:rFonts w:hint="eastAsia" w:ascii="仿宋_GB2312" w:hAnsi="仿宋_GB2312" w:eastAsia="仿宋_GB2312" w:cs="仿宋_GB2312"/>
          <w:bCs/>
          <w:caps w:val="0"/>
          <w:color w:val="auto"/>
          <w:spacing w:val="0"/>
          <w:kern w:val="0"/>
          <w:sz w:val="32"/>
          <w:szCs w:val="32"/>
          <w:shd w:val="clear" w:fill="FFFFFF"/>
        </w:rPr>
        <w:t>的监督和检查。</w:t>
      </w:r>
    </w:p>
    <w:p>
      <w:pPr>
        <w:keepNext w:val="0"/>
        <w:keepLines w:val="0"/>
        <w:pageBreakBefore w:val="0"/>
        <w:kinsoku/>
        <w:wordWrap/>
        <w:overflowPunct/>
        <w:topLinePunct w:val="0"/>
        <w:autoSpaceDN/>
        <w:bidi w:val="0"/>
        <w:spacing w:beforeAutospacing="0" w:line="560" w:lineRule="exact"/>
        <w:textAlignment w:val="auto"/>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F0AD57"/>
    <w:multiLevelType w:val="singleLevel"/>
    <w:tmpl w:val="EFF0AD57"/>
    <w:lvl w:ilvl="0" w:tentative="0">
      <w:start w:val="6"/>
      <w:numFmt w:val="chineseCounting"/>
      <w:suff w:val="nothing"/>
      <w:lvlText w:val="%1、"/>
      <w:lvlJc w:val="left"/>
      <w:rPr>
        <w:rFonts w:hint="eastAsia"/>
      </w:rPr>
    </w:lvl>
  </w:abstractNum>
  <w:abstractNum w:abstractNumId="1">
    <w:nsid w:val="5DEF5617"/>
    <w:multiLevelType w:val="singleLevel"/>
    <w:tmpl w:val="5DEF5617"/>
    <w:lvl w:ilvl="0" w:tentative="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3NWJlY2I5NDYyNTJkMTcyZTUyM2U5MzRjZWViYTIifQ=="/>
  </w:docVars>
  <w:rsids>
    <w:rsidRoot w:val="00C859EE"/>
    <w:rsid w:val="001A22AB"/>
    <w:rsid w:val="001A4E8C"/>
    <w:rsid w:val="00AA2125"/>
    <w:rsid w:val="00C859EE"/>
    <w:rsid w:val="06BFF8CA"/>
    <w:rsid w:val="15BB3AE2"/>
    <w:rsid w:val="167FC234"/>
    <w:rsid w:val="197E67D6"/>
    <w:rsid w:val="1CFB63EE"/>
    <w:rsid w:val="1D0631B0"/>
    <w:rsid w:val="1D7059CF"/>
    <w:rsid w:val="1E3D3F84"/>
    <w:rsid w:val="1F4F1E60"/>
    <w:rsid w:val="1F51F035"/>
    <w:rsid w:val="1F7FDE81"/>
    <w:rsid w:val="1FFF6462"/>
    <w:rsid w:val="2EAF642D"/>
    <w:rsid w:val="2EAF6708"/>
    <w:rsid w:val="2FFFCF81"/>
    <w:rsid w:val="32EAA565"/>
    <w:rsid w:val="377C83D4"/>
    <w:rsid w:val="38FE55A0"/>
    <w:rsid w:val="3A4FCC30"/>
    <w:rsid w:val="3BFEC91B"/>
    <w:rsid w:val="3E7FD5AF"/>
    <w:rsid w:val="3F6EC9BF"/>
    <w:rsid w:val="3FA12016"/>
    <w:rsid w:val="3FEDE9D4"/>
    <w:rsid w:val="3FFD1D4F"/>
    <w:rsid w:val="44B71611"/>
    <w:rsid w:val="47FF79BD"/>
    <w:rsid w:val="48FD7DE6"/>
    <w:rsid w:val="4DDFF40E"/>
    <w:rsid w:val="4E7F0F59"/>
    <w:rsid w:val="53E92F88"/>
    <w:rsid w:val="547B597B"/>
    <w:rsid w:val="556F3D5C"/>
    <w:rsid w:val="577F249A"/>
    <w:rsid w:val="57F314CB"/>
    <w:rsid w:val="58C867D2"/>
    <w:rsid w:val="5AF65C89"/>
    <w:rsid w:val="5F52DD08"/>
    <w:rsid w:val="5FDB271F"/>
    <w:rsid w:val="677E1EDE"/>
    <w:rsid w:val="6793A1B2"/>
    <w:rsid w:val="67D3666C"/>
    <w:rsid w:val="6ADD3581"/>
    <w:rsid w:val="6ECD7820"/>
    <w:rsid w:val="6F3F1591"/>
    <w:rsid w:val="6F7FD211"/>
    <w:rsid w:val="6FDDFB1C"/>
    <w:rsid w:val="6FE5B7C8"/>
    <w:rsid w:val="6FF652E1"/>
    <w:rsid w:val="6FFBA0EB"/>
    <w:rsid w:val="70747D60"/>
    <w:rsid w:val="73AA82F0"/>
    <w:rsid w:val="73BF3BDD"/>
    <w:rsid w:val="74FF9304"/>
    <w:rsid w:val="75DEB09D"/>
    <w:rsid w:val="76AF4B8E"/>
    <w:rsid w:val="76F74308"/>
    <w:rsid w:val="779E8EED"/>
    <w:rsid w:val="77BB46AB"/>
    <w:rsid w:val="77DD17D6"/>
    <w:rsid w:val="77DE9F98"/>
    <w:rsid w:val="7A7F30BF"/>
    <w:rsid w:val="7B22F795"/>
    <w:rsid w:val="7B2EF883"/>
    <w:rsid w:val="7B7B49E6"/>
    <w:rsid w:val="7BBE0DFD"/>
    <w:rsid w:val="7BBF4D84"/>
    <w:rsid w:val="7C3DEE64"/>
    <w:rsid w:val="7C5DBB99"/>
    <w:rsid w:val="7C94A03B"/>
    <w:rsid w:val="7C9749A7"/>
    <w:rsid w:val="7D1DFFBE"/>
    <w:rsid w:val="7D3F47A5"/>
    <w:rsid w:val="7DDE0AC5"/>
    <w:rsid w:val="7DE516A5"/>
    <w:rsid w:val="7DF57628"/>
    <w:rsid w:val="7DFFEBAB"/>
    <w:rsid w:val="7EBDA262"/>
    <w:rsid w:val="7EBDC61F"/>
    <w:rsid w:val="7ECF0A99"/>
    <w:rsid w:val="7EEB872C"/>
    <w:rsid w:val="7EFFDE1E"/>
    <w:rsid w:val="7F57FABF"/>
    <w:rsid w:val="7F5F8CDD"/>
    <w:rsid w:val="7F6C4636"/>
    <w:rsid w:val="7F9B69AD"/>
    <w:rsid w:val="7FBEE619"/>
    <w:rsid w:val="7FD2BD2C"/>
    <w:rsid w:val="7FD73AAE"/>
    <w:rsid w:val="7FD7A071"/>
    <w:rsid w:val="7FDFDB96"/>
    <w:rsid w:val="7FFB1845"/>
    <w:rsid w:val="7FFD7FED"/>
    <w:rsid w:val="7FFEC63A"/>
    <w:rsid w:val="7FFF50C1"/>
    <w:rsid w:val="877FF63A"/>
    <w:rsid w:val="87CEE8B4"/>
    <w:rsid w:val="8FFEDB51"/>
    <w:rsid w:val="9C6ECC2E"/>
    <w:rsid w:val="9DFF9AD7"/>
    <w:rsid w:val="9E9F3CAA"/>
    <w:rsid w:val="9FB70750"/>
    <w:rsid w:val="AD4F22C4"/>
    <w:rsid w:val="AF27F11D"/>
    <w:rsid w:val="AF9A306D"/>
    <w:rsid w:val="AFFF6B3B"/>
    <w:rsid w:val="B17DBEC1"/>
    <w:rsid w:val="B26DC8D1"/>
    <w:rsid w:val="B2F67422"/>
    <w:rsid w:val="B3AACAA9"/>
    <w:rsid w:val="BB3B985E"/>
    <w:rsid w:val="BBCF0BDE"/>
    <w:rsid w:val="BBFB7DBE"/>
    <w:rsid w:val="BD7DC2D4"/>
    <w:rsid w:val="BDB44A70"/>
    <w:rsid w:val="BDDF0068"/>
    <w:rsid w:val="BE1B3AB2"/>
    <w:rsid w:val="BE250365"/>
    <w:rsid w:val="BE320723"/>
    <w:rsid w:val="BEEE2E5E"/>
    <w:rsid w:val="BFAF22FB"/>
    <w:rsid w:val="BFBFB20B"/>
    <w:rsid w:val="BFCFDE2B"/>
    <w:rsid w:val="BFFAD54C"/>
    <w:rsid w:val="BFFD047E"/>
    <w:rsid w:val="BFFF4E15"/>
    <w:rsid w:val="C2FF7E11"/>
    <w:rsid w:val="C6EE6D1A"/>
    <w:rsid w:val="C7FA0B12"/>
    <w:rsid w:val="CE5700A4"/>
    <w:rsid w:val="D19F955C"/>
    <w:rsid w:val="D1C56468"/>
    <w:rsid w:val="D33F7607"/>
    <w:rsid w:val="D3BF07CA"/>
    <w:rsid w:val="D3F73815"/>
    <w:rsid w:val="D3FFFCDC"/>
    <w:rsid w:val="D53A72B6"/>
    <w:rsid w:val="D5BF85CC"/>
    <w:rsid w:val="D67B6E92"/>
    <w:rsid w:val="D9FE9EBC"/>
    <w:rsid w:val="DA3A2E90"/>
    <w:rsid w:val="DBFDCAA9"/>
    <w:rsid w:val="DD7BC396"/>
    <w:rsid w:val="DDB7DAEA"/>
    <w:rsid w:val="DDEFF394"/>
    <w:rsid w:val="DE7F74EF"/>
    <w:rsid w:val="DEEFF917"/>
    <w:rsid w:val="DEFB0E7F"/>
    <w:rsid w:val="DF51793D"/>
    <w:rsid w:val="DF7F7236"/>
    <w:rsid w:val="DFCD13D7"/>
    <w:rsid w:val="DFFF8FF6"/>
    <w:rsid w:val="E4FF574C"/>
    <w:rsid w:val="E5FF8BE9"/>
    <w:rsid w:val="E6777C14"/>
    <w:rsid w:val="E6B93977"/>
    <w:rsid w:val="E77A19E1"/>
    <w:rsid w:val="EB77E8BC"/>
    <w:rsid w:val="EBA58A20"/>
    <w:rsid w:val="EBFCC476"/>
    <w:rsid w:val="EBFF5265"/>
    <w:rsid w:val="EBFF8667"/>
    <w:rsid w:val="ECF5861B"/>
    <w:rsid w:val="ED7741FB"/>
    <w:rsid w:val="EDB45F9D"/>
    <w:rsid w:val="EF3F9E25"/>
    <w:rsid w:val="EF5EBC37"/>
    <w:rsid w:val="EFED32D7"/>
    <w:rsid w:val="EFEEADBD"/>
    <w:rsid w:val="EFFD367E"/>
    <w:rsid w:val="EFFF3805"/>
    <w:rsid w:val="F37F5C8E"/>
    <w:rsid w:val="F37FAECD"/>
    <w:rsid w:val="F52FC4FE"/>
    <w:rsid w:val="F5FDF5A1"/>
    <w:rsid w:val="F76FAF09"/>
    <w:rsid w:val="F775A785"/>
    <w:rsid w:val="F77FD29F"/>
    <w:rsid w:val="F78F718A"/>
    <w:rsid w:val="F79758CF"/>
    <w:rsid w:val="F7FB054A"/>
    <w:rsid w:val="F7FF01FD"/>
    <w:rsid w:val="F7FF0864"/>
    <w:rsid w:val="F9AB92F8"/>
    <w:rsid w:val="FABB69C9"/>
    <w:rsid w:val="FAEF8575"/>
    <w:rsid w:val="FAFD489A"/>
    <w:rsid w:val="FAFD86A6"/>
    <w:rsid w:val="FAFF32F0"/>
    <w:rsid w:val="FB4F9DB3"/>
    <w:rsid w:val="FBDF6CDF"/>
    <w:rsid w:val="FCEEED45"/>
    <w:rsid w:val="FD774DBD"/>
    <w:rsid w:val="FD7E7010"/>
    <w:rsid w:val="FDEE4549"/>
    <w:rsid w:val="FDFC812A"/>
    <w:rsid w:val="FEBADD4F"/>
    <w:rsid w:val="FEBD46DA"/>
    <w:rsid w:val="FEEF9332"/>
    <w:rsid w:val="FEF6E6AF"/>
    <w:rsid w:val="FF179CFA"/>
    <w:rsid w:val="FF9F0788"/>
    <w:rsid w:val="FF9F6202"/>
    <w:rsid w:val="FFBE978F"/>
    <w:rsid w:val="FFDF352D"/>
    <w:rsid w:val="FFDF4174"/>
    <w:rsid w:val="FFE7333F"/>
    <w:rsid w:val="FFE7C40E"/>
    <w:rsid w:val="FFF5D22F"/>
    <w:rsid w:val="FFF67B48"/>
    <w:rsid w:val="FFF7D400"/>
    <w:rsid w:val="FFFB0B69"/>
    <w:rsid w:val="FFFBDDB5"/>
    <w:rsid w:val="FFFD2371"/>
    <w:rsid w:val="FFFD6CA0"/>
    <w:rsid w:val="FFFD8ADF"/>
    <w:rsid w:val="FFFEBEAB"/>
    <w:rsid w:val="FFFF77F2"/>
    <w:rsid w:val="FFFF9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bCs/>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rPr>
      <w:rFonts w:ascii="Times New Roman" w:hAnsi="Times New Roman" w:cs="Times New Roman"/>
    </w:rPr>
  </w:style>
  <w:style w:type="paragraph" w:styleId="3">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customStyle="1" w:styleId="6">
    <w:name w:val="样式1"/>
    <w:basedOn w:val="1"/>
    <w:link w:val="7"/>
    <w:qFormat/>
    <w:uiPriority w:val="0"/>
    <w:rPr>
      <w:b/>
      <w:color w:val="548235" w:themeColor="accent6" w:themeShade="BF"/>
      <w:sz w:val="28"/>
    </w:rPr>
  </w:style>
  <w:style w:type="character" w:customStyle="1" w:styleId="7">
    <w:name w:val="样式1 Char"/>
    <w:basedOn w:val="5"/>
    <w:link w:val="6"/>
    <w:qFormat/>
    <w:uiPriority w:val="0"/>
    <w:rPr>
      <w:b/>
      <w:color w:val="548235" w:themeColor="accent6" w:themeShade="BF"/>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Yozosoft</Company>
  <Pages>7</Pages>
  <Words>3232</Words>
  <Characters>3474</Characters>
  <Lines>0</Lines>
  <Paragraphs>0</Paragraphs>
  <TotalTime>1052</TotalTime>
  <ScaleCrop>false</ScaleCrop>
  <LinksUpToDate>false</LinksUpToDate>
  <CharactersWithSpaces>3485</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2020-05-12T22:11:00Z</dcterms:created>
  <dc:creator>User274</dc:creator>
  <cp:lastModifiedBy>greatwall</cp:lastModifiedBy>
  <cp:lastPrinted>2023-09-20T19:15:00Z</cp:lastPrinted>
  <dcterms:modified xsi:type="dcterms:W3CDTF">2023-09-20T17:04:15Z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6B1184E08547468B9E6DDA140317DF42</vt:lpwstr>
  </property>
</Properties>
</file>